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BE30D" w14:textId="77777777" w:rsidR="008C74C9" w:rsidRPr="00376AE3" w:rsidRDefault="008C74C9" w:rsidP="008C74C9">
      <w:pPr>
        <w:spacing w:after="0" w:line="360" w:lineRule="auto"/>
        <w:ind w:left="720" w:hanging="360"/>
        <w:jc w:val="center"/>
        <w:rPr>
          <w:rFonts w:ascii="Arial" w:hAnsi="Arial" w:cs="Arial"/>
          <w:b/>
        </w:rPr>
      </w:pPr>
      <w:bookmarkStart w:id="0" w:name="_Hlk125966977"/>
      <w:r w:rsidRPr="00376AE3">
        <w:rPr>
          <w:rFonts w:ascii="Arial" w:hAnsi="Arial" w:cs="Arial"/>
          <w:b/>
        </w:rPr>
        <w:t>ANÁLISIS DEL SECTOR</w:t>
      </w:r>
    </w:p>
    <w:p w14:paraId="17D3127D" w14:textId="77777777" w:rsidR="005633B6" w:rsidRPr="00376AE3" w:rsidRDefault="005633B6" w:rsidP="008C74C9">
      <w:pPr>
        <w:spacing w:after="0" w:line="360" w:lineRule="auto"/>
        <w:rPr>
          <w:rFonts w:ascii="Arial" w:hAnsi="Arial" w:cs="Arial"/>
          <w:b/>
        </w:rPr>
      </w:pPr>
    </w:p>
    <w:p w14:paraId="7CE2F31F" w14:textId="216ECA5E" w:rsidR="00EC67EB" w:rsidRPr="00376AE3" w:rsidRDefault="00065551" w:rsidP="005633B6">
      <w:pPr>
        <w:pStyle w:val="Prrafodelista"/>
        <w:numPr>
          <w:ilvl w:val="0"/>
          <w:numId w:val="10"/>
        </w:numPr>
        <w:spacing w:after="0" w:line="360" w:lineRule="auto"/>
        <w:jc w:val="center"/>
        <w:rPr>
          <w:rFonts w:ascii="Arial" w:hAnsi="Arial" w:cs="Arial"/>
          <w:b/>
        </w:rPr>
      </w:pPr>
      <w:r w:rsidRPr="00376AE3">
        <w:rPr>
          <w:rFonts w:ascii="Arial" w:hAnsi="Arial" w:cs="Arial"/>
          <w:b/>
        </w:rPr>
        <w:t>DESCRIPCION DE LA NECESIDAD</w:t>
      </w:r>
    </w:p>
    <w:p w14:paraId="3ACCDB47" w14:textId="77777777" w:rsidR="00065551" w:rsidRPr="00376AE3" w:rsidRDefault="00065551" w:rsidP="00065551">
      <w:pPr>
        <w:pStyle w:val="Prrafodelista"/>
        <w:spacing w:after="0" w:line="360" w:lineRule="auto"/>
        <w:rPr>
          <w:rFonts w:ascii="Arial" w:hAnsi="Arial" w:cs="Arial"/>
          <w:b/>
        </w:rPr>
      </w:pPr>
    </w:p>
    <w:p w14:paraId="1B5C8B9F" w14:textId="10CBF2D0" w:rsidR="00CD7EBC" w:rsidRPr="00376AE3" w:rsidRDefault="00CD7EBC" w:rsidP="00274AAF">
      <w:pPr>
        <w:spacing w:after="0" w:line="240" w:lineRule="auto"/>
        <w:jc w:val="both"/>
        <w:rPr>
          <w:rFonts w:ascii="Arial" w:eastAsiaTheme="minorHAnsi" w:hAnsi="Arial" w:cs="Arial"/>
          <w:kern w:val="2"/>
          <w14:ligatures w14:val="standardContextual"/>
        </w:rPr>
      </w:pPr>
      <w:r w:rsidRPr="00376AE3">
        <w:rPr>
          <w:rFonts w:ascii="Arial" w:eastAsiaTheme="minorHAnsi" w:hAnsi="Arial" w:cs="Arial"/>
          <w:kern w:val="2"/>
          <w14:ligatures w14:val="standardContextual"/>
        </w:rPr>
        <w:t>Que la Constitución Política en su artículo 67</w:t>
      </w:r>
      <w:r w:rsidR="001E4B89" w:rsidRPr="00376AE3">
        <w:rPr>
          <w:rFonts w:ascii="Arial" w:eastAsiaTheme="minorHAnsi" w:hAnsi="Arial" w:cs="Arial"/>
          <w:kern w:val="2"/>
          <w14:ligatures w14:val="standardContextual"/>
        </w:rPr>
        <w:t xml:space="preserve"> </w:t>
      </w:r>
      <w:r w:rsidRPr="00376AE3">
        <w:rPr>
          <w:rFonts w:ascii="Arial" w:eastAsiaTheme="minorHAnsi" w:hAnsi="Arial" w:cs="Arial"/>
          <w:kern w:val="2"/>
          <w14:ligatures w14:val="standardContextual"/>
        </w:rPr>
        <w:t>establece que la “educación es un derecho de la persona y un servicio público que tiene una función social; con ella se busca el acceso al conocimiento, a la ciencia, a la técnica, y a los demás bienes y valores de la cultura. // La educación formará al colombiano en el respeto a los derechos humanos, a la paz y a la democracia; y en la práctica del trabajo y la recreación, para el mejoramiento cultural, científico, tecnológico y para la protección del ambiente”. Que la Constitución Política en el artículo 366 señala que el bienestar general y el mejoramiento de la calidad de vida de la población son finalidades sociales del Estado.</w:t>
      </w:r>
    </w:p>
    <w:p w14:paraId="103C9FB8" w14:textId="77777777" w:rsidR="00274AAF" w:rsidRPr="00376AE3" w:rsidRDefault="00274AAF" w:rsidP="00274AAF">
      <w:pPr>
        <w:spacing w:after="0" w:line="240" w:lineRule="auto"/>
        <w:jc w:val="both"/>
        <w:rPr>
          <w:rFonts w:ascii="Arial" w:eastAsiaTheme="minorHAnsi" w:hAnsi="Arial" w:cs="Arial"/>
          <w:kern w:val="2"/>
          <w14:ligatures w14:val="standardContextual"/>
        </w:rPr>
      </w:pPr>
    </w:p>
    <w:p w14:paraId="48650A49" w14:textId="77777777" w:rsidR="00CD7EBC" w:rsidRPr="00376AE3" w:rsidRDefault="00CD7EBC" w:rsidP="00274AAF">
      <w:pPr>
        <w:spacing w:after="0" w:line="240" w:lineRule="auto"/>
        <w:jc w:val="both"/>
        <w:rPr>
          <w:rFonts w:ascii="Arial" w:eastAsiaTheme="minorHAnsi" w:hAnsi="Arial" w:cs="Arial"/>
          <w:kern w:val="2"/>
          <w14:ligatures w14:val="standardContextual"/>
        </w:rPr>
      </w:pPr>
      <w:r w:rsidRPr="00376AE3">
        <w:rPr>
          <w:rFonts w:ascii="Arial" w:eastAsiaTheme="minorHAnsi" w:hAnsi="Arial" w:cs="Arial"/>
          <w:kern w:val="2"/>
          <w14:ligatures w14:val="standardContextual"/>
        </w:rPr>
        <w:t>Que la Ley 115 de 1994 en su artículo 1o señala que la "educación es un proceso de formación permanente, personal, cultural y social que se fundamenta en una concepción integral de la persona humana, de su dignidad, de sus derechos y sus deberes “y en el artículo 5º precisa que la educación tiene, entre otros fines, lograr “el pleno desarrollo de la personalidad sin más limitaciones que las que le imponen los derechos de los demás y el orden jurídico, dentro de un proceso de formación integral, física, psíquica, intelectual , moral, espiritual, social, afectiva, ética, cívica y demás valores humanos”.</w:t>
      </w:r>
    </w:p>
    <w:p w14:paraId="398BF91E" w14:textId="09489B54" w:rsidR="00D426F5" w:rsidRPr="00376AE3" w:rsidRDefault="00D426F5" w:rsidP="00D426F5">
      <w:pPr>
        <w:spacing w:before="240" w:after="0" w:line="278" w:lineRule="auto"/>
        <w:jc w:val="both"/>
        <w:rPr>
          <w:rFonts w:ascii="Arial" w:eastAsia="Aptos" w:hAnsi="Arial" w:cs="Arial"/>
          <w:kern w:val="2"/>
          <w14:ligatures w14:val="standardContextual"/>
        </w:rPr>
      </w:pPr>
      <w:r w:rsidRPr="00376AE3">
        <w:rPr>
          <w:rFonts w:ascii="Arial" w:eastAsia="Aptos" w:hAnsi="Arial" w:cs="Arial"/>
          <w:kern w:val="2"/>
          <w14:ligatures w14:val="standardContextual"/>
        </w:rPr>
        <w:t>El "SENA", para promover e impulsar el desarrollo y prosperidad del país, se alinea a los parámetros formulados en su Plan de Desarrollo, en el cual se plantean cinco estrategias transversales enfocadas</w:t>
      </w:r>
      <w:r w:rsidR="002A680F" w:rsidRPr="00376AE3">
        <w:rPr>
          <w:rFonts w:ascii="Arial" w:eastAsia="Aptos" w:hAnsi="Arial" w:cs="Arial"/>
          <w:kern w:val="2"/>
          <w14:ligatures w14:val="standardContextual"/>
        </w:rPr>
        <w:t xml:space="preserve"> en</w:t>
      </w:r>
      <w:r w:rsidRPr="00376AE3">
        <w:rPr>
          <w:rFonts w:ascii="Arial" w:eastAsia="Aptos" w:hAnsi="Arial" w:cs="Arial"/>
          <w:kern w:val="2"/>
          <w14:ligatures w14:val="standardContextual"/>
        </w:rPr>
        <w:t xml:space="preserve"> </w:t>
      </w:r>
      <w:r w:rsidR="002A680F" w:rsidRPr="00376AE3">
        <w:rPr>
          <w:rFonts w:ascii="Arial" w:eastAsia="Aptos" w:hAnsi="Arial" w:cs="Arial"/>
          <w:kern w:val="2"/>
          <w14:ligatures w14:val="standardContextual"/>
        </w:rPr>
        <w:t>la calidad y pertinencia de la formación, generación de empleo y emprendimiento, fortalecimiento de la productividad y la competitividad a nivel nacional e internacional, la promoción de la inclusión social y un enfoque diferencial, así como la transformación digital para modernizar sus procesos y servicios. E</w:t>
      </w:r>
      <w:r w:rsidRPr="00376AE3">
        <w:rPr>
          <w:rFonts w:ascii="Arial" w:eastAsia="Aptos" w:hAnsi="Arial" w:cs="Arial"/>
          <w:kern w:val="2"/>
          <w14:ligatures w14:val="standardContextual"/>
        </w:rPr>
        <w:t>l SENA ejecuta su plan estratégico, donde busca el mejoramiento de la calidad, con cobertura y pertinencia. Además de lo anterior, guía sus acciones a través del sistema integrado de gestión.</w:t>
      </w:r>
    </w:p>
    <w:p w14:paraId="46867F4D" w14:textId="77777777" w:rsidR="00310430"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 xml:space="preserve">El Centro Agropecuario La Granja SENA - Espinal debe adelantar actividades de formación profesional de conformidad con las normas vigentes, dirigidas a transferir tecnología de utilización inmediata del sector productivo, realizar programas y proyectos de investigación aplicada y desarrollo tecnológico y orientar la creatividad de los trabajadores colombianos y a su vez debe actualizar en forma permanente, los procesos y la infraestructura pedagógica, tecnológica y administrativa para responder con eficacia y calidad a los cambios y exigencias de la demanda de formación integral. </w:t>
      </w:r>
    </w:p>
    <w:p w14:paraId="001EF3D5" w14:textId="77777777" w:rsidR="00310430"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A través de la estrategia CampeSENA, la entidad propende por fortalecer las capacidades, conocimientos y habilidades de la población campesina, y de propiciar nuevas opciones que le permitan incrementar sus ingresos y mejorar su calidad de vida. En tal sentido, el cuarto eslabón de la cadena productiva de la estrategia refiere a la Comercialización y acceso a mercados, los cuales: incluyen los canales para vender los productos como Tiendas Campesinas o Puntos de Venta Rural, ferias agropecuarias y mercados locales, comercialización institucional y encadenamientos productivos, canales digitales y asociativos.</w:t>
      </w:r>
    </w:p>
    <w:p w14:paraId="55ED125D" w14:textId="77777777" w:rsidR="00310430"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lastRenderedPageBreak/>
        <w:t xml:space="preserve">En cuanto al Horizonte y Estrategias del Programa CampeSENA para la Comercialización de productos y servicios de las asociaciones rurales en la Tienda </w:t>
      </w:r>
      <w:proofErr w:type="spellStart"/>
      <w:r w:rsidRPr="00310430">
        <w:rPr>
          <w:rFonts w:ascii="Arial" w:eastAsia="Aptos" w:hAnsi="Arial" w:cs="Arial"/>
          <w:kern w:val="2"/>
          <w14:ligatures w14:val="standardContextual"/>
        </w:rPr>
        <w:t>Zajuna</w:t>
      </w:r>
      <w:proofErr w:type="spellEnd"/>
      <w:r w:rsidRPr="00310430">
        <w:rPr>
          <w:rFonts w:ascii="Arial" w:eastAsia="Aptos" w:hAnsi="Arial" w:cs="Arial"/>
          <w:kern w:val="2"/>
          <w14:ligatures w14:val="standardContextual"/>
        </w:rPr>
        <w:t xml:space="preserve"> de Carretera, esta se consolida como una vitrina comercial estratégica para la promoción y venta de productos provenientes de asociaciones campesinas, aprendices del programa CampeSENA y unidades productivas rurales. Este espacio facilita la conexión directa entre productores y consumidores, fortaleciendo la economía local.</w:t>
      </w:r>
    </w:p>
    <w:p w14:paraId="57EAF53E" w14:textId="6BCF3026" w:rsidR="001E0793"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 xml:space="preserve">En tal sentido, la Tienda </w:t>
      </w:r>
      <w:proofErr w:type="spellStart"/>
      <w:r w:rsidRPr="00310430">
        <w:rPr>
          <w:rFonts w:ascii="Arial" w:eastAsia="Aptos" w:hAnsi="Arial" w:cs="Arial"/>
          <w:kern w:val="2"/>
          <w14:ligatures w14:val="standardContextual"/>
        </w:rPr>
        <w:t>Zajuna</w:t>
      </w:r>
      <w:proofErr w:type="spellEnd"/>
      <w:r w:rsidRPr="00310430">
        <w:rPr>
          <w:rFonts w:ascii="Arial" w:eastAsia="Aptos" w:hAnsi="Arial" w:cs="Arial"/>
          <w:kern w:val="2"/>
          <w14:ligatures w14:val="standardContextual"/>
        </w:rPr>
        <w:t>, se propone posicionar a las asociaciones campesinas como:</w:t>
      </w:r>
    </w:p>
    <w:p w14:paraId="59CCED7C"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Un canal de comercialización sostenible y competitivo para productos campesinos.</w:t>
      </w:r>
    </w:p>
    <w:p w14:paraId="25BF85CA"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Una vitrina regional de identidad territorial, que visibilice la producción local.</w:t>
      </w:r>
    </w:p>
    <w:p w14:paraId="3F7C64C2"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Un espacio de aprendizaje práctico, donde los aprendices desarrollen competencias comerciales reales.</w:t>
      </w:r>
    </w:p>
    <w:p w14:paraId="2232402B"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Un modelo replicable de tienda campesina con enfoque institucional y territorial.</w:t>
      </w:r>
    </w:p>
    <w:p w14:paraId="7CD4755A"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Punto de venta de comercialización directa, reduciendo intermediarios y mejorando los ingresos de las asociaciones campesinas.</w:t>
      </w:r>
    </w:p>
    <w:p w14:paraId="0B9224DB" w14:textId="77777777" w:rsidR="00310430"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 xml:space="preserve">Cómo estrategias de la Tienda </w:t>
      </w:r>
      <w:proofErr w:type="spellStart"/>
      <w:r w:rsidRPr="00310430">
        <w:rPr>
          <w:rFonts w:ascii="Arial" w:eastAsia="Aptos" w:hAnsi="Arial" w:cs="Arial"/>
          <w:kern w:val="2"/>
          <w14:ligatures w14:val="standardContextual"/>
        </w:rPr>
        <w:t>Zajuna</w:t>
      </w:r>
      <w:proofErr w:type="spellEnd"/>
      <w:r w:rsidRPr="00310430">
        <w:rPr>
          <w:rFonts w:ascii="Arial" w:eastAsia="Aptos" w:hAnsi="Arial" w:cs="Arial"/>
          <w:kern w:val="2"/>
          <w14:ligatures w14:val="standardContextual"/>
        </w:rPr>
        <w:t xml:space="preserve"> con relación a la participación del Programa CampeSENA, se consideran:</w:t>
      </w:r>
    </w:p>
    <w:p w14:paraId="12A7BFF2" w14:textId="77777777" w:rsidR="00310430" w:rsidRPr="00310430" w:rsidRDefault="00310430" w:rsidP="001E0793">
      <w:pPr>
        <w:spacing w:before="240" w:after="0" w:line="278"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 xml:space="preserve">Vinculación de asociaciones campesinas a la Tienda </w:t>
      </w:r>
      <w:proofErr w:type="spellStart"/>
      <w:r w:rsidRPr="00310430">
        <w:rPr>
          <w:rFonts w:ascii="Arial" w:eastAsia="Aptos" w:hAnsi="Arial" w:cs="Arial"/>
          <w:kern w:val="2"/>
          <w14:ligatures w14:val="standardContextual"/>
        </w:rPr>
        <w:t>Zajuna</w:t>
      </w:r>
      <w:proofErr w:type="spellEnd"/>
      <w:r w:rsidRPr="00310430">
        <w:rPr>
          <w:rFonts w:ascii="Arial" w:eastAsia="Aptos" w:hAnsi="Arial" w:cs="Arial"/>
          <w:kern w:val="2"/>
          <w14:ligatures w14:val="standardContextual"/>
        </w:rPr>
        <w:t>:</w:t>
      </w:r>
    </w:p>
    <w:p w14:paraId="487B59F1"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Identificación y caracterización de asociaciones productoras.</w:t>
      </w:r>
    </w:p>
    <w:p w14:paraId="3F364C47"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Establecimiento de acuerdos comerciales justos.</w:t>
      </w:r>
    </w:p>
    <w:p w14:paraId="21191A29"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Definición de portafolio de productos con enfoque territorial.</w:t>
      </w:r>
    </w:p>
    <w:p w14:paraId="28412C4E" w14:textId="77777777" w:rsidR="00310430" w:rsidRPr="00310430" w:rsidRDefault="00310430" w:rsidP="001E0793">
      <w:pPr>
        <w:spacing w:before="240" w:after="0" w:line="278"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Estandarización y calidad de producto:</w:t>
      </w:r>
    </w:p>
    <w:p w14:paraId="674D7D2E"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Implementación de buenas prácticas de manufactura (BPM).</w:t>
      </w:r>
    </w:p>
    <w:p w14:paraId="22C84D8A"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Diseño de empaques, etiquetado y marca.</w:t>
      </w:r>
    </w:p>
    <w:p w14:paraId="79537C53"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Cumplimiento de normativas sanitarias y de calidad.</w:t>
      </w:r>
    </w:p>
    <w:p w14:paraId="12D56A26"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p>
    <w:p w14:paraId="20560029"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Agregación de valor:</w:t>
      </w:r>
    </w:p>
    <w:p w14:paraId="1E50DBE5"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Transformación agroindustrial de productos primarios.</w:t>
      </w:r>
    </w:p>
    <w:p w14:paraId="1F10A01C"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Desarrollo de productos diferenciados (orgánicos, artesanales, tradicionales).</w:t>
      </w:r>
    </w:p>
    <w:p w14:paraId="5BDB0353"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Innovación en presentación y conservación.</w:t>
      </w:r>
    </w:p>
    <w:p w14:paraId="7C1B66FB"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p>
    <w:p w14:paraId="424AB799"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Estrategias de comercialización y mercadeo</w:t>
      </w:r>
    </w:p>
    <w:p w14:paraId="477251B5"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r>
      <w:proofErr w:type="spellStart"/>
      <w:r w:rsidRPr="00310430">
        <w:rPr>
          <w:rFonts w:ascii="Arial" w:eastAsia="Aptos" w:hAnsi="Arial" w:cs="Arial"/>
          <w:kern w:val="2"/>
          <w14:ligatures w14:val="standardContextual"/>
        </w:rPr>
        <w:t>Merchandising</w:t>
      </w:r>
      <w:proofErr w:type="spellEnd"/>
      <w:r w:rsidRPr="00310430">
        <w:rPr>
          <w:rFonts w:ascii="Arial" w:eastAsia="Aptos" w:hAnsi="Arial" w:cs="Arial"/>
          <w:kern w:val="2"/>
          <w14:ligatures w14:val="standardContextual"/>
        </w:rPr>
        <w:t xml:space="preserve"> y exhibición estratégica en la Tienda </w:t>
      </w:r>
      <w:proofErr w:type="spellStart"/>
      <w:r w:rsidRPr="00310430">
        <w:rPr>
          <w:rFonts w:ascii="Arial" w:eastAsia="Aptos" w:hAnsi="Arial" w:cs="Arial"/>
          <w:kern w:val="2"/>
          <w14:ligatures w14:val="standardContextual"/>
        </w:rPr>
        <w:t>Zajuna</w:t>
      </w:r>
      <w:proofErr w:type="spellEnd"/>
      <w:r w:rsidRPr="00310430">
        <w:rPr>
          <w:rFonts w:ascii="Arial" w:eastAsia="Aptos" w:hAnsi="Arial" w:cs="Arial"/>
          <w:kern w:val="2"/>
          <w14:ligatures w14:val="standardContextual"/>
        </w:rPr>
        <w:t>.</w:t>
      </w:r>
    </w:p>
    <w:p w14:paraId="07B56087"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Promoción de productos con identidad regional.</w:t>
      </w:r>
    </w:p>
    <w:p w14:paraId="5444D15D"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Implementación de campañas publicitarias y eventos comerciales.</w:t>
      </w:r>
    </w:p>
    <w:p w14:paraId="6F20D112"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Uso de canales digitales y redes sociales para promoción.</w:t>
      </w:r>
    </w:p>
    <w:p w14:paraId="59019C25"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p>
    <w:p w14:paraId="2DD013FB"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Formación en competencias comerciales:</w:t>
      </w:r>
    </w:p>
    <w:p w14:paraId="229B442D"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Capacitación en ventas, servicio al cliente y negociación.</w:t>
      </w:r>
    </w:p>
    <w:p w14:paraId="39932A78"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Formación en costos, fijación de precios y logística.</w:t>
      </w:r>
    </w:p>
    <w:p w14:paraId="5DD1194E"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Participación de aprendices en procesos reales de comercialización.</w:t>
      </w:r>
    </w:p>
    <w:p w14:paraId="39C4ABC3"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p>
    <w:p w14:paraId="48FE3D4B"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Gestión de canales y logística:</w:t>
      </w:r>
    </w:p>
    <w:p w14:paraId="5C823DD6"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Organización del inventario y control de stock.</w:t>
      </w:r>
    </w:p>
    <w:p w14:paraId="0B8B218C"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Definición de rutas de abastecimiento con asociaciones.</w:t>
      </w:r>
    </w:p>
    <w:p w14:paraId="7392B36D"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lastRenderedPageBreak/>
        <w:t>•</w:t>
      </w:r>
      <w:r w:rsidRPr="00310430">
        <w:rPr>
          <w:rFonts w:ascii="Arial" w:eastAsia="Aptos" w:hAnsi="Arial" w:cs="Arial"/>
          <w:kern w:val="2"/>
          <w14:ligatures w14:val="standardContextual"/>
        </w:rPr>
        <w:tab/>
        <w:t>Optimización de la cadena de suministro.</w:t>
      </w:r>
    </w:p>
    <w:p w14:paraId="5DFA45F2"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p>
    <w:p w14:paraId="655A3DBD"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Articulación institucional y alianzas:</w:t>
      </w:r>
    </w:p>
    <w:p w14:paraId="51FF59EB"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Vinculación con cámaras de comercio y entidades territoriales.</w:t>
      </w:r>
    </w:p>
    <w:p w14:paraId="4C29798B"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Alianzas con programas como CampeSENA y otras estrategias rurales.</w:t>
      </w:r>
    </w:p>
    <w:p w14:paraId="6E2895EC"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Integración con ferias, mercados campesinos y circuitos turísticos.</w:t>
      </w:r>
    </w:p>
    <w:p w14:paraId="260C6311"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p>
    <w:p w14:paraId="44413F0B"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Enfoque Diferencial:</w:t>
      </w:r>
    </w:p>
    <w:p w14:paraId="161C67DC"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Comercio justo: precios equitativos para productores.</w:t>
      </w:r>
    </w:p>
    <w:p w14:paraId="5AC914BF"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Identidad territorial: promoción de productos locales del Tolima.</w:t>
      </w:r>
    </w:p>
    <w:p w14:paraId="6F2DDB92"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Sostenibilidad: prácticas responsables con el medio ambiente.</w:t>
      </w:r>
    </w:p>
    <w:p w14:paraId="4D4D575D" w14:textId="77777777" w:rsidR="00310430" w:rsidRPr="00310430" w:rsidRDefault="00310430" w:rsidP="001E0793">
      <w:pPr>
        <w:spacing w:after="0" w:line="240" w:lineRule="auto"/>
        <w:ind w:left="426" w:hanging="284"/>
        <w:jc w:val="both"/>
        <w:rPr>
          <w:rFonts w:ascii="Arial" w:eastAsia="Aptos" w:hAnsi="Arial" w:cs="Arial"/>
          <w:kern w:val="2"/>
          <w14:ligatures w14:val="standardContextual"/>
        </w:rPr>
      </w:pPr>
      <w:r w:rsidRPr="00310430">
        <w:rPr>
          <w:rFonts w:ascii="Arial" w:eastAsia="Aptos" w:hAnsi="Arial" w:cs="Arial"/>
          <w:kern w:val="2"/>
          <w14:ligatures w14:val="standardContextual"/>
        </w:rPr>
        <w:t>•</w:t>
      </w:r>
      <w:r w:rsidRPr="00310430">
        <w:rPr>
          <w:rFonts w:ascii="Arial" w:eastAsia="Aptos" w:hAnsi="Arial" w:cs="Arial"/>
          <w:kern w:val="2"/>
          <w14:ligatures w14:val="standardContextual"/>
        </w:rPr>
        <w:tab/>
        <w:t>Formación aplicada: integración de aprendices en la operación comercial.</w:t>
      </w:r>
    </w:p>
    <w:p w14:paraId="2472FFBA" w14:textId="77777777" w:rsidR="00310430"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 xml:space="preserve">En conclusión, la articulación entre CampeSENA y la Tienda </w:t>
      </w:r>
      <w:proofErr w:type="spellStart"/>
      <w:r w:rsidRPr="00310430">
        <w:rPr>
          <w:rFonts w:ascii="Arial" w:eastAsia="Aptos" w:hAnsi="Arial" w:cs="Arial"/>
          <w:kern w:val="2"/>
          <w14:ligatures w14:val="standardContextual"/>
        </w:rPr>
        <w:t>Zajuna</w:t>
      </w:r>
      <w:proofErr w:type="spellEnd"/>
      <w:r w:rsidRPr="00310430">
        <w:rPr>
          <w:rFonts w:ascii="Arial" w:eastAsia="Aptos" w:hAnsi="Arial" w:cs="Arial"/>
          <w:kern w:val="2"/>
          <w14:ligatures w14:val="standardContextual"/>
        </w:rPr>
        <w:t xml:space="preserve"> permite consolidar un modelo innovador de comercialización rural, donde la formación, la producción y el mercado convergen para fortalecer las asociaciones campesinas y dinamizar la economía regional. En tal propósito, se articulan acciones con la coordinación académica del Centro Agropecuario la Granja para identificar las asociaciones rurales del departamento del Tolima en aspectos tales como zona geográfica, productos y servicios que ofrecen y valor diferencial con que cuenta.</w:t>
      </w:r>
    </w:p>
    <w:p w14:paraId="462AE503" w14:textId="77777777" w:rsidR="00310430"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La Tienda ZAJUNA del Centro Agropecuario La Granja, ubicado en el km 5 de la vía Espinal – Ibagué, tiene el propósito de brindar espacios organizados y adecuados para la oferta de los productos y servicios que de una parte son elaborados en procesos formativos del Centro y de otra parte de los elaborados por las asociaciones campesinas que también involucran procesos formativos, lo cual se constituye como la vitrina comercial del mercado potencial de clientes que transita sobre la vía Espinal – Ibagué – Espinal y de los municipios cercanos como Espinal, Flandes, Melgar, Guamo, Saldaña, Purificación e Ibagué.</w:t>
      </w:r>
    </w:p>
    <w:p w14:paraId="05486DEE" w14:textId="77777777" w:rsidR="00310430"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La operación promueve la articulación entre el conocimiento técnico y los saberes tradicionales y ancestrales, contribuyendo al desarrollo sostenible. Así mismo, fortalece las competencias técnicas y comerciales de los aprendices y de las comunidades campesinas, al generar espacios reales de formación vinculados a los procesos productivos y de comercialización. De igual manera, impulsa la modernización de los ambientes de formación tipo granja mediante la implementación de escenarios demostrativos del desarrollo tecnológico en el territorio.</w:t>
      </w:r>
    </w:p>
    <w:p w14:paraId="1C9C1334" w14:textId="77777777" w:rsidR="00310430"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 xml:space="preserve">En este orden de ideas para garantizar el funcionamiento de la Tienda </w:t>
      </w:r>
      <w:proofErr w:type="spellStart"/>
      <w:r w:rsidRPr="00310430">
        <w:rPr>
          <w:rFonts w:ascii="Arial" w:eastAsia="Aptos" w:hAnsi="Arial" w:cs="Arial"/>
          <w:kern w:val="2"/>
          <w14:ligatures w14:val="standardContextual"/>
        </w:rPr>
        <w:t>Zajuna</w:t>
      </w:r>
      <w:proofErr w:type="spellEnd"/>
      <w:r w:rsidRPr="00310430">
        <w:rPr>
          <w:rFonts w:ascii="Arial" w:eastAsia="Aptos" w:hAnsi="Arial" w:cs="Arial"/>
          <w:kern w:val="2"/>
          <w14:ligatures w14:val="standardContextual"/>
        </w:rPr>
        <w:t xml:space="preserve">, resulta necesario contar con </w:t>
      </w:r>
      <w:r w:rsidRPr="001E0793">
        <w:rPr>
          <w:rFonts w:ascii="Arial" w:eastAsia="Aptos" w:hAnsi="Arial" w:cs="Arial"/>
          <w:b/>
          <w:bCs/>
          <w:kern w:val="2"/>
          <w14:ligatures w14:val="standardContextual"/>
        </w:rPr>
        <w:t>la adquisición de equipos de cómputo e impresoras</w:t>
      </w:r>
      <w:r w:rsidRPr="00310430">
        <w:rPr>
          <w:rFonts w:ascii="Arial" w:eastAsia="Aptos" w:hAnsi="Arial" w:cs="Arial"/>
          <w:kern w:val="2"/>
          <w14:ligatures w14:val="standardContextual"/>
        </w:rPr>
        <w:t xml:space="preserve"> que permitan llevar el registro de las operaciones contables, financieras, inventarios, ventas y demás registros indispensables para la óptima operación de la Tienda, garantizando la ejecución de los diferentes procesos y brindando una atención oportuna y de calidad a los clientes externos e internos.  Entre las funciones y beneficios que proporcionan los equipos de cómputo e impresora están el uso de software para registrar ventas en tiempo real, emisión de facturas electrónicas conforme a la normativa colombiana y SENA, control de ingresos diarios y reportes automáticos que brindan mayor transparencia, control financiero y reducción de errores manuales. En cuanto al control de inventarios se cuenta el registro digital de entradas y salidas de productos, alertas de productos agotados o baja rotación. Referente al fortalecimiento de la comercialización están el diseño de </w:t>
      </w:r>
      <w:r w:rsidRPr="00310430">
        <w:rPr>
          <w:rFonts w:ascii="Arial" w:eastAsia="Aptos" w:hAnsi="Arial" w:cs="Arial"/>
          <w:kern w:val="2"/>
          <w14:ligatures w14:val="standardContextual"/>
        </w:rPr>
        <w:lastRenderedPageBreak/>
        <w:t>piezas publicitarias y promoción en redes sociales, gestión de catálogos digitales de productos campesinos, implementación de ventas digitales o pedidos en línea, proporcionando mayor visibilidad de los productos y ampliación de mercados. En cuanto a la toma de decisiones se pueden establecer generación de reportes de ventas por producto, proveedor o temporada, análisis de productos más rentables o de mayor demanda, evaluación del desempeño comercial de las asociaciones campesinas en consecuencia se puede contar con decisiones basadas en datos reales y mejora continua del negocio. Relacionado con el fortalecimiento administrativo en el manejo de contabilidad, costos y presupuestos, organización de bases de datos de proveedores (asociaciones campesinas), gestión documental y archivo digital procurando mayor eficiencia administrativa y orden institucional.</w:t>
      </w:r>
    </w:p>
    <w:p w14:paraId="2A997EB2" w14:textId="77777777" w:rsidR="00310430" w:rsidRP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Se reconoce que los principales beneficiarios son los aprendices, la comunidad campesina y los emprendedores del departamento del Tolima, así como la comunidad educativa y el personal administrativo del Centro Agropecuario La Granja. También se benefician los transeúntes que circulan en vehículos por la vía Espinal–Ibagué–Espinal, quienes acceden a servicios de alimentación e información educativa del Centro, generando valor agregado. Para ello, se dispondrá de un espacio equipado y adecuadamente ambientado que permita el desarrollo de operaciones comerciales asociadas a los procesos productivos del Centro, en articulación con la estrategia SENA Empresa, asociaciones campesinas y urbanas, y emprendedores del departamento. Asimismo, el impacto esperado comprende la mejora en la calidad de la enseñanza, el fortalecimiento de competencias técnicas, el incremento de oportunidades de empleabilidad, el mejoramiento de la calidad de vida y el apoyo directo al desarrollo socioeconómico regional.</w:t>
      </w:r>
    </w:p>
    <w:p w14:paraId="7AF52942" w14:textId="183558BA" w:rsidR="00310430" w:rsidRDefault="00310430" w:rsidP="00310430">
      <w:pPr>
        <w:spacing w:before="240" w:after="0" w:line="278" w:lineRule="auto"/>
        <w:jc w:val="both"/>
        <w:rPr>
          <w:rFonts w:ascii="Arial" w:eastAsia="Aptos" w:hAnsi="Arial" w:cs="Arial"/>
          <w:kern w:val="2"/>
          <w14:ligatures w14:val="standardContextual"/>
        </w:rPr>
      </w:pPr>
      <w:r w:rsidRPr="00310430">
        <w:rPr>
          <w:rFonts w:ascii="Arial" w:eastAsia="Aptos" w:hAnsi="Arial" w:cs="Arial"/>
          <w:kern w:val="2"/>
          <w14:ligatures w14:val="standardContextual"/>
        </w:rPr>
        <w:t xml:space="preserve">Por lo anterior, para el Centro Agropecuario La Granja una de las formas más conveniente para satisfacer esta necesidad de la Tienda </w:t>
      </w:r>
      <w:proofErr w:type="spellStart"/>
      <w:r w:rsidRPr="00310430">
        <w:rPr>
          <w:rFonts w:ascii="Arial" w:eastAsia="Aptos" w:hAnsi="Arial" w:cs="Arial"/>
          <w:kern w:val="2"/>
          <w14:ligatures w14:val="standardContextual"/>
        </w:rPr>
        <w:t>Zajuna</w:t>
      </w:r>
      <w:proofErr w:type="spellEnd"/>
      <w:r w:rsidRPr="00310430">
        <w:rPr>
          <w:rFonts w:ascii="Arial" w:eastAsia="Aptos" w:hAnsi="Arial" w:cs="Arial"/>
          <w:kern w:val="2"/>
          <w14:ligatures w14:val="standardContextual"/>
        </w:rPr>
        <w:t xml:space="preserve"> es Contratar la Adquisición de equipos de sistemas como computadores portátiles e impresora funcional a través de proveedor que cumpla con las especificaciones técnicas y de calidad exigidas por el Centro Agropecuario La Granja SENA Regional Tolima.</w:t>
      </w:r>
    </w:p>
    <w:p w14:paraId="3AE6DC51" w14:textId="77777777" w:rsidR="001B0B9C" w:rsidRPr="00376AE3" w:rsidRDefault="001B0B9C" w:rsidP="00CD7EBC">
      <w:pPr>
        <w:spacing w:after="0" w:line="240" w:lineRule="auto"/>
        <w:jc w:val="both"/>
        <w:rPr>
          <w:rFonts w:ascii="Arial" w:eastAsiaTheme="minorHAnsi" w:hAnsi="Arial" w:cs="Arial"/>
          <w:kern w:val="2"/>
          <w14:ligatures w14:val="standardContextual"/>
        </w:rPr>
      </w:pPr>
    </w:p>
    <w:p w14:paraId="71E2369D" w14:textId="4D77D999" w:rsidR="00BF44E9" w:rsidRPr="00376AE3" w:rsidRDefault="00CD7EBC" w:rsidP="00BF44E9">
      <w:pPr>
        <w:pStyle w:val="Sinespaciado"/>
        <w:jc w:val="both"/>
        <w:rPr>
          <w:rFonts w:ascii="Arial" w:hAnsi="Arial" w:cs="Arial"/>
          <w:b/>
          <w:bCs/>
        </w:rPr>
      </w:pPr>
      <w:r w:rsidRPr="00376AE3">
        <w:rPr>
          <w:rFonts w:ascii="Arial" w:eastAsiaTheme="minorHAnsi" w:hAnsi="Arial" w:cs="Arial"/>
          <w:kern w:val="2"/>
          <w14:ligatures w14:val="standardContextual"/>
        </w:rPr>
        <w:t xml:space="preserve">Por lo anterior se hace necesaria contratar la </w:t>
      </w:r>
      <w:r w:rsidRPr="00376AE3">
        <w:rPr>
          <w:rFonts w:ascii="Arial" w:eastAsiaTheme="minorHAnsi" w:hAnsi="Arial" w:cs="Arial"/>
          <w:b/>
          <w:bCs/>
          <w:kern w:val="2"/>
          <w14:ligatures w14:val="standardContextual"/>
        </w:rPr>
        <w:t>“</w:t>
      </w:r>
      <w:r w:rsidR="001E0793" w:rsidRPr="001E0793">
        <w:rPr>
          <w:rFonts w:ascii="Arial" w:hAnsi="Arial" w:cs="Arial"/>
          <w:b/>
          <w:bCs/>
        </w:rPr>
        <w:t>CONTRATAR LA ADQUISICIÓN DE EQUIPOS DE CÓMPUTO E IMPRESIÓN, REQUERIDOS PARA EL DESARROLLO DE LAS ACTIVIDADES ADMINISTRATIVAS Y OPERATIVAS ASOCIADAS A LA TIENDA ZAJUNA CAMPO, DEL CENTRO AGROPECUARIO LA GRANJA DEL SENA REGIONAL TOLIMA, DURANTE LA VIGENCIA 2026.</w:t>
      </w:r>
      <w:r w:rsidR="00635E38" w:rsidRPr="00376AE3">
        <w:rPr>
          <w:rFonts w:ascii="Arial" w:hAnsi="Arial" w:cs="Arial"/>
          <w:b/>
          <w:bCs/>
          <w:i/>
          <w:iCs/>
        </w:rPr>
        <w:t>”</w:t>
      </w:r>
      <w:r w:rsidR="00DC289B" w:rsidRPr="00376AE3">
        <w:rPr>
          <w:rFonts w:ascii="Arial" w:hAnsi="Arial" w:cs="Arial"/>
          <w:b/>
          <w:bCs/>
          <w:i/>
          <w:iCs/>
        </w:rPr>
        <w:t xml:space="preserve">.  </w:t>
      </w:r>
      <w:r w:rsidR="00DC289B" w:rsidRPr="00376AE3">
        <w:rPr>
          <w:rFonts w:ascii="Arial" w:hAnsi="Arial" w:cs="Arial"/>
          <w:b/>
          <w:bCs/>
        </w:rPr>
        <w:t xml:space="preserve"> </w:t>
      </w:r>
    </w:p>
    <w:p w14:paraId="0C0B94DE" w14:textId="77777777" w:rsidR="00CD7EBC" w:rsidRPr="00376AE3" w:rsidRDefault="00CD7EBC" w:rsidP="00CD7EBC">
      <w:pPr>
        <w:spacing w:after="0" w:line="240" w:lineRule="auto"/>
        <w:jc w:val="both"/>
        <w:rPr>
          <w:rFonts w:ascii="Arial" w:eastAsiaTheme="minorHAnsi" w:hAnsi="Arial" w:cs="Arial"/>
          <w:kern w:val="2"/>
          <w14:ligatures w14:val="standardContextual"/>
        </w:rPr>
      </w:pPr>
    </w:p>
    <w:p w14:paraId="335AC544" w14:textId="77777777" w:rsidR="00CD7EBC" w:rsidRPr="00376AE3" w:rsidRDefault="00CD7EBC" w:rsidP="00CD7EBC">
      <w:pPr>
        <w:spacing w:after="0" w:line="240" w:lineRule="auto"/>
        <w:jc w:val="both"/>
        <w:rPr>
          <w:rFonts w:ascii="Arial" w:eastAsiaTheme="minorHAnsi" w:hAnsi="Arial" w:cs="Arial"/>
          <w:kern w:val="2"/>
          <w14:ligatures w14:val="standardContextual"/>
        </w:rPr>
      </w:pPr>
      <w:r w:rsidRPr="00376AE3">
        <w:rPr>
          <w:rFonts w:ascii="Arial" w:eastAsiaTheme="minorHAnsi" w:hAnsi="Arial" w:cs="Arial"/>
          <w:kern w:val="2"/>
          <w14:ligatures w14:val="standardContextual"/>
        </w:rPr>
        <w:t xml:space="preserve">El presente proceso contractual se encuentra clasificado dentro de los siguientes códigos UNSPSC: </w:t>
      </w:r>
    </w:p>
    <w:p w14:paraId="7583DB15" w14:textId="77777777" w:rsidR="00EC67EB" w:rsidRPr="00376AE3" w:rsidRDefault="00EC67EB" w:rsidP="00DA61B1">
      <w:pPr>
        <w:spacing w:after="0" w:line="360" w:lineRule="auto"/>
        <w:rPr>
          <w:rFonts w:ascii="Arial" w:hAnsi="Arial" w:cs="Arial"/>
          <w:b/>
          <w:highlight w:val="magenta"/>
        </w:rPr>
      </w:pPr>
    </w:p>
    <w:tbl>
      <w:tblPr>
        <w:tblStyle w:val="Tablaconcuadrcula1"/>
        <w:tblW w:w="9356" w:type="dxa"/>
        <w:tblInd w:w="-5" w:type="dxa"/>
        <w:tblLook w:val="04A0" w:firstRow="1" w:lastRow="0" w:firstColumn="1" w:lastColumn="0" w:noHBand="0" w:noVBand="1"/>
      </w:tblPr>
      <w:tblGrid>
        <w:gridCol w:w="1586"/>
        <w:gridCol w:w="1220"/>
        <w:gridCol w:w="1379"/>
        <w:gridCol w:w="1535"/>
        <w:gridCol w:w="3636"/>
      </w:tblGrid>
      <w:tr w:rsidR="0077645C" w:rsidRPr="00376AE3" w14:paraId="721CB08C" w14:textId="77777777" w:rsidTr="00376AE3">
        <w:trPr>
          <w:trHeight w:val="473"/>
        </w:trPr>
        <w:tc>
          <w:tcPr>
            <w:tcW w:w="1586" w:type="dxa"/>
            <w:shd w:val="clear" w:color="auto" w:fill="8DB3E2"/>
            <w:vAlign w:val="center"/>
          </w:tcPr>
          <w:p w14:paraId="27488208" w14:textId="77777777" w:rsidR="0077645C" w:rsidRPr="00376AE3" w:rsidRDefault="0077645C" w:rsidP="00376AE3">
            <w:pPr>
              <w:spacing w:line="240" w:lineRule="auto"/>
              <w:jc w:val="center"/>
              <w:rPr>
                <w:rFonts w:ascii="Arial" w:eastAsia="Aptos" w:hAnsi="Arial" w:cs="Arial"/>
                <w:b/>
                <w:kern w:val="2"/>
                <w14:ligatures w14:val="standardContextual"/>
              </w:rPr>
            </w:pPr>
            <w:r w:rsidRPr="00376AE3">
              <w:rPr>
                <w:rFonts w:ascii="Arial" w:eastAsia="Aptos" w:hAnsi="Arial" w:cs="Arial"/>
                <w:b/>
                <w:kern w:val="2"/>
                <w14:ligatures w14:val="standardContextual"/>
              </w:rPr>
              <w:t>SEGMENTO</w:t>
            </w:r>
          </w:p>
        </w:tc>
        <w:tc>
          <w:tcPr>
            <w:tcW w:w="1220" w:type="dxa"/>
            <w:shd w:val="clear" w:color="auto" w:fill="8DB3E2"/>
            <w:vAlign w:val="center"/>
          </w:tcPr>
          <w:p w14:paraId="23B14313" w14:textId="77777777" w:rsidR="0077645C" w:rsidRPr="00376AE3" w:rsidRDefault="0077645C" w:rsidP="00376AE3">
            <w:pPr>
              <w:spacing w:line="240" w:lineRule="auto"/>
              <w:jc w:val="center"/>
              <w:rPr>
                <w:rFonts w:ascii="Arial" w:eastAsia="Aptos" w:hAnsi="Arial" w:cs="Arial"/>
                <w:b/>
                <w:kern w:val="2"/>
                <w14:ligatures w14:val="standardContextual"/>
              </w:rPr>
            </w:pPr>
            <w:r w:rsidRPr="00376AE3">
              <w:rPr>
                <w:rFonts w:ascii="Arial" w:eastAsia="Aptos" w:hAnsi="Arial" w:cs="Arial"/>
                <w:b/>
                <w:kern w:val="2"/>
                <w14:ligatures w14:val="standardContextual"/>
              </w:rPr>
              <w:t>FAMILIA</w:t>
            </w:r>
          </w:p>
        </w:tc>
        <w:tc>
          <w:tcPr>
            <w:tcW w:w="1379" w:type="dxa"/>
            <w:shd w:val="clear" w:color="auto" w:fill="8DB3E2"/>
            <w:vAlign w:val="center"/>
          </w:tcPr>
          <w:p w14:paraId="62670565" w14:textId="77777777" w:rsidR="0077645C" w:rsidRPr="00376AE3" w:rsidRDefault="0077645C" w:rsidP="00376AE3">
            <w:pPr>
              <w:spacing w:line="240" w:lineRule="auto"/>
              <w:jc w:val="center"/>
              <w:rPr>
                <w:rFonts w:ascii="Arial" w:eastAsia="Aptos" w:hAnsi="Arial" w:cs="Arial"/>
                <w:b/>
                <w:kern w:val="2"/>
                <w14:ligatures w14:val="standardContextual"/>
              </w:rPr>
            </w:pPr>
            <w:r w:rsidRPr="00376AE3">
              <w:rPr>
                <w:rFonts w:ascii="Arial" w:eastAsia="Aptos" w:hAnsi="Arial" w:cs="Arial"/>
                <w:b/>
                <w:kern w:val="2"/>
                <w14:ligatures w14:val="standardContextual"/>
              </w:rPr>
              <w:t>CLASE</w:t>
            </w:r>
          </w:p>
        </w:tc>
        <w:tc>
          <w:tcPr>
            <w:tcW w:w="1535" w:type="dxa"/>
            <w:shd w:val="clear" w:color="auto" w:fill="8DB3E2"/>
            <w:vAlign w:val="center"/>
          </w:tcPr>
          <w:p w14:paraId="2546D733" w14:textId="77777777" w:rsidR="0077645C" w:rsidRPr="00376AE3" w:rsidRDefault="0077645C" w:rsidP="00376AE3">
            <w:pPr>
              <w:spacing w:line="240" w:lineRule="auto"/>
              <w:jc w:val="center"/>
              <w:rPr>
                <w:rFonts w:ascii="Arial" w:eastAsia="Aptos" w:hAnsi="Arial" w:cs="Arial"/>
                <w:b/>
                <w:kern w:val="2"/>
                <w14:ligatures w14:val="standardContextual"/>
              </w:rPr>
            </w:pPr>
            <w:r w:rsidRPr="00376AE3">
              <w:rPr>
                <w:rFonts w:ascii="Arial" w:eastAsia="Aptos" w:hAnsi="Arial" w:cs="Arial"/>
                <w:b/>
                <w:kern w:val="2"/>
                <w14:ligatures w14:val="standardContextual"/>
              </w:rPr>
              <w:t>CODIGO</w:t>
            </w:r>
          </w:p>
        </w:tc>
        <w:tc>
          <w:tcPr>
            <w:tcW w:w="3636" w:type="dxa"/>
            <w:shd w:val="clear" w:color="auto" w:fill="8DB3E2"/>
            <w:vAlign w:val="center"/>
          </w:tcPr>
          <w:p w14:paraId="29BA7B66" w14:textId="77777777" w:rsidR="0077645C" w:rsidRPr="00376AE3" w:rsidRDefault="0077645C" w:rsidP="00376AE3">
            <w:pPr>
              <w:spacing w:line="240" w:lineRule="auto"/>
              <w:jc w:val="center"/>
              <w:rPr>
                <w:rFonts w:ascii="Arial" w:eastAsia="Aptos" w:hAnsi="Arial" w:cs="Arial"/>
                <w:b/>
                <w:kern w:val="2"/>
                <w14:ligatures w14:val="standardContextual"/>
              </w:rPr>
            </w:pPr>
            <w:r w:rsidRPr="00376AE3">
              <w:rPr>
                <w:rFonts w:ascii="Arial" w:eastAsia="Aptos" w:hAnsi="Arial" w:cs="Arial"/>
                <w:b/>
                <w:kern w:val="2"/>
                <w14:ligatures w14:val="standardContextual"/>
              </w:rPr>
              <w:t>PRODUCTO</w:t>
            </w:r>
          </w:p>
        </w:tc>
      </w:tr>
      <w:tr w:rsidR="0077645C" w:rsidRPr="00376AE3" w14:paraId="56B56A65" w14:textId="77777777" w:rsidTr="00376AE3">
        <w:trPr>
          <w:trHeight w:val="390"/>
        </w:trPr>
        <w:tc>
          <w:tcPr>
            <w:tcW w:w="1586" w:type="dxa"/>
            <w:vAlign w:val="center"/>
          </w:tcPr>
          <w:p w14:paraId="51ADE96A" w14:textId="1B5DA02C" w:rsidR="0077645C" w:rsidRPr="00376AE3" w:rsidRDefault="004D30F3" w:rsidP="00376AE3">
            <w:pPr>
              <w:spacing w:line="240" w:lineRule="auto"/>
              <w:jc w:val="center"/>
              <w:rPr>
                <w:rFonts w:ascii="Arial" w:eastAsia="Aptos" w:hAnsi="Arial" w:cs="Arial"/>
                <w:color w:val="000000"/>
                <w:kern w:val="2"/>
                <w14:ligatures w14:val="standardContextual"/>
              </w:rPr>
            </w:pPr>
            <w:r>
              <w:rPr>
                <w:rFonts w:ascii="Arial" w:eastAsia="Aptos" w:hAnsi="Arial" w:cs="Arial"/>
                <w:color w:val="000000"/>
                <w:kern w:val="2"/>
                <w14:ligatures w14:val="standardContextual"/>
              </w:rPr>
              <w:t>43</w:t>
            </w:r>
          </w:p>
        </w:tc>
        <w:tc>
          <w:tcPr>
            <w:tcW w:w="1220" w:type="dxa"/>
            <w:vAlign w:val="center"/>
          </w:tcPr>
          <w:p w14:paraId="17E05968" w14:textId="4DE1D1A1" w:rsidR="0077645C" w:rsidRPr="00376AE3" w:rsidRDefault="004D30F3" w:rsidP="00376AE3">
            <w:pPr>
              <w:spacing w:line="240" w:lineRule="auto"/>
              <w:jc w:val="center"/>
              <w:rPr>
                <w:rFonts w:ascii="Arial" w:eastAsia="Aptos" w:hAnsi="Arial" w:cs="Arial"/>
                <w:color w:val="000000"/>
                <w:kern w:val="2"/>
                <w14:ligatures w14:val="standardContextual"/>
              </w:rPr>
            </w:pPr>
            <w:r>
              <w:rPr>
                <w:rFonts w:ascii="Arial" w:eastAsia="Aptos" w:hAnsi="Arial" w:cs="Arial"/>
                <w:color w:val="000000"/>
                <w:kern w:val="2"/>
                <w14:ligatures w14:val="standardContextual"/>
              </w:rPr>
              <w:t>21</w:t>
            </w:r>
          </w:p>
        </w:tc>
        <w:tc>
          <w:tcPr>
            <w:tcW w:w="1379" w:type="dxa"/>
            <w:vAlign w:val="center"/>
          </w:tcPr>
          <w:p w14:paraId="14D2B2B7" w14:textId="40699CC2" w:rsidR="0077645C" w:rsidRPr="00376AE3" w:rsidRDefault="004D30F3" w:rsidP="00376AE3">
            <w:pPr>
              <w:spacing w:line="240" w:lineRule="auto"/>
              <w:jc w:val="center"/>
              <w:rPr>
                <w:rFonts w:ascii="Arial" w:eastAsia="Aptos" w:hAnsi="Arial" w:cs="Arial"/>
                <w:color w:val="000000"/>
                <w:kern w:val="2"/>
                <w14:ligatures w14:val="standardContextual"/>
              </w:rPr>
            </w:pPr>
            <w:r>
              <w:rPr>
                <w:rFonts w:ascii="Arial" w:eastAsia="Aptos" w:hAnsi="Arial" w:cs="Arial"/>
                <w:color w:val="000000"/>
                <w:kern w:val="2"/>
                <w14:ligatures w14:val="standardContextual"/>
              </w:rPr>
              <w:t>15</w:t>
            </w:r>
          </w:p>
        </w:tc>
        <w:tc>
          <w:tcPr>
            <w:tcW w:w="1535" w:type="dxa"/>
            <w:vAlign w:val="center"/>
          </w:tcPr>
          <w:p w14:paraId="721ED857" w14:textId="5922B175" w:rsidR="0077645C" w:rsidRPr="00376AE3" w:rsidRDefault="004D30F3" w:rsidP="00376AE3">
            <w:pPr>
              <w:spacing w:line="240" w:lineRule="auto"/>
              <w:jc w:val="center"/>
              <w:rPr>
                <w:rFonts w:ascii="Arial" w:eastAsia="Aptos" w:hAnsi="Arial" w:cs="Arial"/>
                <w:color w:val="000000"/>
                <w:kern w:val="2"/>
                <w14:ligatures w14:val="standardContextual"/>
              </w:rPr>
            </w:pPr>
            <w:r w:rsidRPr="004D30F3">
              <w:rPr>
                <w:rFonts w:ascii="Arial" w:eastAsia="Aptos" w:hAnsi="Arial" w:cs="Arial"/>
                <w:color w:val="000000"/>
                <w:kern w:val="2"/>
                <w14:ligatures w14:val="standardContextual"/>
              </w:rPr>
              <w:t>43211508</w:t>
            </w:r>
          </w:p>
        </w:tc>
        <w:tc>
          <w:tcPr>
            <w:tcW w:w="3636" w:type="dxa"/>
            <w:vAlign w:val="center"/>
          </w:tcPr>
          <w:p w14:paraId="245E74D9" w14:textId="2F739CF0" w:rsidR="0077645C" w:rsidRPr="00376AE3" w:rsidRDefault="004D30F3" w:rsidP="00376AE3">
            <w:pPr>
              <w:spacing w:line="240" w:lineRule="auto"/>
              <w:jc w:val="center"/>
              <w:rPr>
                <w:rFonts w:ascii="Arial" w:eastAsia="Aptos" w:hAnsi="Arial" w:cs="Arial"/>
                <w:color w:val="000000"/>
                <w:kern w:val="2"/>
                <w14:ligatures w14:val="standardContextual"/>
              </w:rPr>
            </w:pPr>
            <w:r w:rsidRPr="004D30F3">
              <w:rPr>
                <w:rFonts w:ascii="Arial" w:eastAsia="Aptos" w:hAnsi="Arial" w:cs="Arial"/>
                <w:color w:val="000000"/>
                <w:kern w:val="2"/>
                <w14:ligatures w14:val="standardContextual"/>
              </w:rPr>
              <w:t>Computadores personales</w:t>
            </w:r>
          </w:p>
        </w:tc>
      </w:tr>
      <w:tr w:rsidR="004D30F3" w:rsidRPr="00376AE3" w14:paraId="09EC221A" w14:textId="77777777" w:rsidTr="00376AE3">
        <w:trPr>
          <w:trHeight w:val="390"/>
        </w:trPr>
        <w:tc>
          <w:tcPr>
            <w:tcW w:w="1586" w:type="dxa"/>
            <w:vAlign w:val="center"/>
          </w:tcPr>
          <w:p w14:paraId="36AC1275" w14:textId="2117313D" w:rsidR="004D30F3" w:rsidRPr="00376AE3" w:rsidRDefault="004D30F3" w:rsidP="00376AE3">
            <w:pPr>
              <w:spacing w:line="240" w:lineRule="auto"/>
              <w:jc w:val="center"/>
              <w:rPr>
                <w:rFonts w:ascii="Arial" w:eastAsia="Aptos" w:hAnsi="Arial" w:cs="Arial"/>
                <w:color w:val="000000"/>
                <w:kern w:val="2"/>
                <w14:ligatures w14:val="standardContextual"/>
              </w:rPr>
            </w:pPr>
            <w:r>
              <w:rPr>
                <w:rFonts w:ascii="Arial" w:eastAsia="Aptos" w:hAnsi="Arial" w:cs="Arial"/>
                <w:color w:val="000000"/>
                <w:kern w:val="2"/>
                <w14:ligatures w14:val="standardContextual"/>
              </w:rPr>
              <w:t>43</w:t>
            </w:r>
          </w:p>
        </w:tc>
        <w:tc>
          <w:tcPr>
            <w:tcW w:w="1220" w:type="dxa"/>
            <w:vAlign w:val="center"/>
          </w:tcPr>
          <w:p w14:paraId="024CDE30" w14:textId="5BD376B1" w:rsidR="004D30F3" w:rsidRPr="00376AE3" w:rsidRDefault="004D30F3" w:rsidP="00376AE3">
            <w:pPr>
              <w:spacing w:line="240" w:lineRule="auto"/>
              <w:jc w:val="center"/>
              <w:rPr>
                <w:rFonts w:ascii="Arial" w:eastAsia="Aptos" w:hAnsi="Arial" w:cs="Arial"/>
                <w:color w:val="000000"/>
                <w:kern w:val="2"/>
                <w14:ligatures w14:val="standardContextual"/>
              </w:rPr>
            </w:pPr>
            <w:r>
              <w:rPr>
                <w:rFonts w:ascii="Arial" w:eastAsia="Aptos" w:hAnsi="Arial" w:cs="Arial"/>
                <w:color w:val="000000"/>
                <w:kern w:val="2"/>
                <w14:ligatures w14:val="standardContextual"/>
              </w:rPr>
              <w:t>21</w:t>
            </w:r>
          </w:p>
        </w:tc>
        <w:tc>
          <w:tcPr>
            <w:tcW w:w="1379" w:type="dxa"/>
            <w:vAlign w:val="center"/>
          </w:tcPr>
          <w:p w14:paraId="59F47615" w14:textId="150D16FD" w:rsidR="004D30F3" w:rsidRPr="00376AE3" w:rsidRDefault="004D30F3" w:rsidP="00376AE3">
            <w:pPr>
              <w:spacing w:line="240" w:lineRule="auto"/>
              <w:jc w:val="center"/>
              <w:rPr>
                <w:rFonts w:ascii="Arial" w:eastAsia="Aptos" w:hAnsi="Arial" w:cs="Arial"/>
                <w:color w:val="000000"/>
                <w:kern w:val="2"/>
                <w14:ligatures w14:val="standardContextual"/>
              </w:rPr>
            </w:pPr>
            <w:r>
              <w:rPr>
                <w:rFonts w:ascii="Arial" w:eastAsia="Aptos" w:hAnsi="Arial" w:cs="Arial"/>
                <w:color w:val="000000"/>
                <w:kern w:val="2"/>
                <w14:ligatures w14:val="standardContextual"/>
              </w:rPr>
              <w:t>21</w:t>
            </w:r>
          </w:p>
        </w:tc>
        <w:tc>
          <w:tcPr>
            <w:tcW w:w="1535" w:type="dxa"/>
            <w:vAlign w:val="center"/>
          </w:tcPr>
          <w:p w14:paraId="1262E8A3" w14:textId="2EDECEFC" w:rsidR="004D30F3" w:rsidRPr="00376AE3" w:rsidRDefault="004D30F3" w:rsidP="00376AE3">
            <w:pPr>
              <w:spacing w:line="240" w:lineRule="auto"/>
              <w:jc w:val="center"/>
              <w:rPr>
                <w:rFonts w:ascii="Arial" w:eastAsia="Aptos" w:hAnsi="Arial" w:cs="Arial"/>
                <w:color w:val="000000"/>
                <w:kern w:val="2"/>
                <w14:ligatures w14:val="standardContextual"/>
              </w:rPr>
            </w:pPr>
            <w:r w:rsidRPr="004D30F3">
              <w:rPr>
                <w:rFonts w:ascii="Arial" w:eastAsia="Aptos" w:hAnsi="Arial" w:cs="Arial"/>
                <w:color w:val="000000"/>
                <w:kern w:val="2"/>
                <w14:ligatures w14:val="standardContextual"/>
              </w:rPr>
              <w:t>43212104</w:t>
            </w:r>
          </w:p>
        </w:tc>
        <w:tc>
          <w:tcPr>
            <w:tcW w:w="3636" w:type="dxa"/>
            <w:vAlign w:val="center"/>
          </w:tcPr>
          <w:p w14:paraId="778379FF" w14:textId="040C8C92" w:rsidR="004D30F3" w:rsidRPr="00376AE3" w:rsidRDefault="004D30F3" w:rsidP="00376AE3">
            <w:pPr>
              <w:spacing w:line="240" w:lineRule="auto"/>
              <w:jc w:val="center"/>
              <w:rPr>
                <w:rFonts w:ascii="Arial" w:eastAsia="Aptos" w:hAnsi="Arial" w:cs="Arial"/>
                <w:color w:val="000000"/>
                <w:kern w:val="2"/>
                <w14:ligatures w14:val="standardContextual"/>
              </w:rPr>
            </w:pPr>
            <w:r w:rsidRPr="004D30F3">
              <w:rPr>
                <w:rFonts w:ascii="Arial" w:eastAsia="Aptos" w:hAnsi="Arial" w:cs="Arial"/>
                <w:color w:val="000000"/>
                <w:kern w:val="2"/>
                <w14:ligatures w14:val="standardContextual"/>
              </w:rPr>
              <w:t>Impresoras de inyección de tinta</w:t>
            </w:r>
          </w:p>
        </w:tc>
      </w:tr>
    </w:tbl>
    <w:p w14:paraId="2A54C53C" w14:textId="77777777" w:rsidR="00274AAF" w:rsidRPr="00376AE3" w:rsidRDefault="00274AAF" w:rsidP="00274AAF">
      <w:pPr>
        <w:spacing w:after="0" w:line="360" w:lineRule="auto"/>
        <w:rPr>
          <w:rFonts w:ascii="Arial" w:hAnsi="Arial" w:cs="Arial"/>
          <w:b/>
          <w:highlight w:val="magenta"/>
        </w:rPr>
      </w:pPr>
    </w:p>
    <w:p w14:paraId="369FD1DA" w14:textId="63185DC4" w:rsidR="003A70BC" w:rsidRPr="00376AE3" w:rsidRDefault="003A70BC" w:rsidP="00E975F8">
      <w:pPr>
        <w:pStyle w:val="Prrafodelista"/>
        <w:numPr>
          <w:ilvl w:val="0"/>
          <w:numId w:val="10"/>
        </w:numPr>
        <w:spacing w:after="0" w:line="360" w:lineRule="auto"/>
        <w:rPr>
          <w:rFonts w:ascii="Arial" w:hAnsi="Arial" w:cs="Arial"/>
          <w:b/>
        </w:rPr>
      </w:pPr>
      <w:r w:rsidRPr="00376AE3">
        <w:rPr>
          <w:rFonts w:ascii="Arial" w:hAnsi="Arial" w:cs="Arial"/>
          <w:b/>
        </w:rPr>
        <w:lastRenderedPageBreak/>
        <w:t>ANÁLISIS DEL SECTOR</w:t>
      </w:r>
    </w:p>
    <w:p w14:paraId="2C4276FB" w14:textId="7641B58C" w:rsidR="003A70BC" w:rsidRPr="00376AE3" w:rsidRDefault="003A70BC" w:rsidP="005E7128">
      <w:pPr>
        <w:spacing w:after="0" w:line="360" w:lineRule="auto"/>
        <w:rPr>
          <w:rFonts w:ascii="Arial" w:hAnsi="Arial" w:cs="Arial"/>
          <w:b/>
        </w:rPr>
      </w:pPr>
    </w:p>
    <w:p w14:paraId="0CDB4C69" w14:textId="77777777" w:rsidR="003A70BC" w:rsidRPr="00376AE3" w:rsidRDefault="003A70BC" w:rsidP="00B119B8">
      <w:pPr>
        <w:spacing w:after="0" w:line="276" w:lineRule="auto"/>
        <w:jc w:val="both"/>
        <w:rPr>
          <w:rFonts w:ascii="Arial" w:hAnsi="Arial" w:cs="Arial"/>
          <w:b/>
        </w:rPr>
      </w:pPr>
      <w:r w:rsidRPr="00376AE3">
        <w:rPr>
          <w:rFonts w:ascii="Arial" w:hAnsi="Arial" w:cs="Arial"/>
          <w:b/>
        </w:rPr>
        <w:t>(CAPITULO VI - Artículo 2.2.1.1.1.6.1. Del Decreto 1082 de 2015)</w:t>
      </w:r>
    </w:p>
    <w:p w14:paraId="25AEDE1C" w14:textId="77777777" w:rsidR="00376AE3" w:rsidRPr="00376AE3" w:rsidRDefault="00376AE3" w:rsidP="00B119B8">
      <w:pPr>
        <w:spacing w:after="0" w:line="276" w:lineRule="auto"/>
        <w:jc w:val="both"/>
        <w:rPr>
          <w:rFonts w:ascii="Arial" w:hAnsi="Arial" w:cs="Arial"/>
          <w:b/>
        </w:rPr>
      </w:pPr>
    </w:p>
    <w:p w14:paraId="518C8D66" w14:textId="4FA18B2F" w:rsidR="003A70BC" w:rsidRPr="00376AE3" w:rsidRDefault="003A70BC" w:rsidP="00B119B8">
      <w:pPr>
        <w:spacing w:after="0" w:line="276" w:lineRule="auto"/>
        <w:jc w:val="both"/>
        <w:rPr>
          <w:rFonts w:ascii="Arial" w:hAnsi="Arial" w:cs="Arial"/>
          <w:bCs/>
        </w:rPr>
      </w:pPr>
      <w:r w:rsidRPr="00376AE3">
        <w:rPr>
          <w:rFonts w:ascii="Arial" w:hAnsi="Arial" w:cs="Arial"/>
          <w:bCs/>
        </w:rPr>
        <w:t>El Servicio Nacional de Aprendizaje SENA es una de las entidades llamadas a impactar directamente en los indicadores de Ciencia, Tecnología e Innovación en Colombia. En su estrategia cuenta como eje de desarrollo el Sistema de Investigación, Desarrollo Tecnológico e Innovación, el cual contempla la Investigación en Formación Profesional y el apoyo a la Investigación aplicada en los Centros de Formación como componentes.</w:t>
      </w:r>
    </w:p>
    <w:p w14:paraId="708D9934" w14:textId="77777777" w:rsidR="007C1087" w:rsidRPr="00376AE3" w:rsidRDefault="007C1087" w:rsidP="00B119B8">
      <w:pPr>
        <w:spacing w:after="0" w:line="276" w:lineRule="auto"/>
        <w:jc w:val="both"/>
        <w:rPr>
          <w:rFonts w:ascii="Arial" w:hAnsi="Arial" w:cs="Arial"/>
          <w:bCs/>
        </w:rPr>
      </w:pPr>
    </w:p>
    <w:p w14:paraId="20FE0552" w14:textId="052CDDCE" w:rsidR="003A70BC" w:rsidRPr="00376AE3" w:rsidRDefault="003A70BC" w:rsidP="00B119B8">
      <w:pPr>
        <w:spacing w:after="0" w:line="276" w:lineRule="auto"/>
        <w:jc w:val="both"/>
        <w:rPr>
          <w:rFonts w:ascii="Arial" w:hAnsi="Arial" w:cs="Arial"/>
          <w:bCs/>
        </w:rPr>
      </w:pPr>
      <w:r w:rsidRPr="00376AE3">
        <w:rPr>
          <w:rFonts w:ascii="Arial" w:hAnsi="Arial" w:cs="Arial"/>
          <w:bCs/>
        </w:rPr>
        <w:t>De conformidad con el Artículo 2.2.1.1.1.6.1 del Decreto 1082 de 2015, el Centro Agropecuario La Granja Sena - Espinal presenta a continuación el estudio del sector desde la perspectiva legal, comercial, financiera, organizacional, técnica y de análisis de riesgos, relativo al objeto de la presente contratación:</w:t>
      </w:r>
    </w:p>
    <w:p w14:paraId="09CFB419" w14:textId="77777777" w:rsidR="003644B6" w:rsidRPr="00376AE3" w:rsidRDefault="003644B6" w:rsidP="00EA41F9">
      <w:pPr>
        <w:spacing w:after="0" w:line="360" w:lineRule="auto"/>
        <w:jc w:val="both"/>
        <w:rPr>
          <w:rFonts w:ascii="Arial" w:hAnsi="Arial" w:cs="Arial"/>
          <w:bCs/>
        </w:rPr>
      </w:pPr>
    </w:p>
    <w:p w14:paraId="64819B9C" w14:textId="00648071" w:rsidR="009759F6" w:rsidRPr="00376AE3" w:rsidRDefault="003A70BC" w:rsidP="00784339">
      <w:pPr>
        <w:pStyle w:val="Sinespaciado"/>
        <w:jc w:val="both"/>
        <w:rPr>
          <w:rFonts w:ascii="Arial" w:hAnsi="Arial" w:cs="Arial"/>
          <w:b/>
          <w:bCs/>
        </w:rPr>
      </w:pPr>
      <w:r w:rsidRPr="00376AE3">
        <w:rPr>
          <w:rFonts w:ascii="Arial" w:hAnsi="Arial" w:cs="Arial"/>
          <w:b/>
          <w:bCs/>
        </w:rPr>
        <w:t>OBJETO</w:t>
      </w:r>
      <w:r w:rsidR="00946830" w:rsidRPr="00376AE3">
        <w:rPr>
          <w:rFonts w:ascii="Arial" w:hAnsi="Arial" w:cs="Arial"/>
          <w:b/>
          <w:bCs/>
        </w:rPr>
        <w:t>:</w:t>
      </w:r>
      <w:r w:rsidR="00E14525" w:rsidRPr="00376AE3">
        <w:rPr>
          <w:rFonts w:ascii="Arial" w:hAnsi="Arial" w:cs="Arial"/>
          <w:b/>
          <w:bCs/>
        </w:rPr>
        <w:t xml:space="preserve"> </w:t>
      </w:r>
      <w:r w:rsidR="00E2396C" w:rsidRPr="00E2396C">
        <w:rPr>
          <w:rFonts w:ascii="Arial" w:hAnsi="Arial" w:cs="Arial"/>
          <w:b/>
          <w:bCs/>
        </w:rPr>
        <w:t>“CONTRATAR LA ADQUISICIÓN DE EQUIPOS DE CÓMPUTO E IMPRESIÓN, REQUERIDOS PARA EL DESARROLLO DE LAS ACTIVIDADES ADMINISTRATIVAS Y OPERATIVAS ASOCIADAS A LA TIENDA ZAJUNA CAMPO, DEL CENTRO AGROPECUARIO LA GRANJA DEL SENA REGIONAL TOLIMA, DURANTE LA VIGENCIA 2026”</w:t>
      </w:r>
      <w:r w:rsidR="00E2396C">
        <w:rPr>
          <w:rFonts w:ascii="Arial" w:hAnsi="Arial" w:cs="Arial"/>
          <w:b/>
          <w:bCs/>
        </w:rPr>
        <w:t>.</w:t>
      </w:r>
      <w:r w:rsidR="00A10A53" w:rsidRPr="00376AE3">
        <w:rPr>
          <w:rFonts w:ascii="Arial" w:hAnsi="Arial" w:cs="Arial"/>
          <w:b/>
          <w:bCs/>
        </w:rPr>
        <w:t xml:space="preserve"> </w:t>
      </w:r>
    </w:p>
    <w:p w14:paraId="376A82FA" w14:textId="77777777" w:rsidR="000B3A4B" w:rsidRPr="00376AE3" w:rsidRDefault="000B3A4B" w:rsidP="00EA41F9">
      <w:pPr>
        <w:spacing w:after="0" w:line="360" w:lineRule="auto"/>
        <w:jc w:val="both"/>
        <w:rPr>
          <w:rFonts w:ascii="Arial" w:hAnsi="Arial" w:cs="Arial"/>
          <w:bCs/>
        </w:rPr>
      </w:pPr>
    </w:p>
    <w:p w14:paraId="63CDBA1A" w14:textId="08FFD275" w:rsidR="00925445" w:rsidRPr="00376AE3" w:rsidRDefault="004518A3" w:rsidP="00E975F8">
      <w:pPr>
        <w:pStyle w:val="Prrafodelista"/>
        <w:numPr>
          <w:ilvl w:val="0"/>
          <w:numId w:val="12"/>
        </w:numPr>
        <w:spacing w:after="0" w:line="240" w:lineRule="auto"/>
        <w:jc w:val="both"/>
        <w:rPr>
          <w:rFonts w:ascii="Arial" w:hAnsi="Arial" w:cs="Arial"/>
          <w:b/>
          <w:bCs/>
        </w:rPr>
      </w:pPr>
      <w:r w:rsidRPr="00376AE3">
        <w:rPr>
          <w:rFonts w:ascii="Arial" w:hAnsi="Arial" w:cs="Arial"/>
          <w:b/>
          <w:bCs/>
        </w:rPr>
        <w:t>SECTORES PARA ANALIZAR</w:t>
      </w:r>
      <w:bookmarkStart w:id="1" w:name="_Toc949823575"/>
      <w:bookmarkStart w:id="2" w:name="_Toc1379252261"/>
      <w:bookmarkStart w:id="3" w:name="_Toc1051122434"/>
    </w:p>
    <w:p w14:paraId="0AD96327" w14:textId="77777777" w:rsidR="009E0217" w:rsidRDefault="009E0217" w:rsidP="00EA41F9">
      <w:pPr>
        <w:pStyle w:val="Prrafodelista"/>
        <w:spacing w:after="0" w:line="240" w:lineRule="auto"/>
        <w:jc w:val="both"/>
        <w:rPr>
          <w:rFonts w:ascii="Arial" w:hAnsi="Arial" w:cs="Arial"/>
          <w:b/>
          <w:bCs/>
        </w:rPr>
      </w:pPr>
    </w:p>
    <w:p w14:paraId="131B70AA" w14:textId="77777777" w:rsidR="009E0217" w:rsidRPr="00376AE3" w:rsidRDefault="009E0217" w:rsidP="00EA41F9">
      <w:pPr>
        <w:pStyle w:val="Prrafodelista"/>
        <w:spacing w:after="0" w:line="240" w:lineRule="auto"/>
        <w:jc w:val="both"/>
        <w:rPr>
          <w:rFonts w:ascii="Arial" w:hAnsi="Arial" w:cs="Arial"/>
          <w:b/>
          <w:bCs/>
        </w:rPr>
      </w:pPr>
    </w:p>
    <w:p w14:paraId="783B71AB" w14:textId="4540478D" w:rsidR="009E0217" w:rsidRDefault="009E0217" w:rsidP="009E0217">
      <w:pPr>
        <w:spacing w:line="278" w:lineRule="auto"/>
        <w:jc w:val="both"/>
        <w:rPr>
          <w:rFonts w:ascii="Arial" w:eastAsia="Aptos" w:hAnsi="Arial" w:cs="Arial"/>
          <w:kern w:val="2"/>
          <w14:ligatures w14:val="standardContextual"/>
        </w:rPr>
      </w:pPr>
      <w:r w:rsidRPr="009E0217">
        <w:rPr>
          <w:rFonts w:ascii="Arial" w:eastAsia="Aptos" w:hAnsi="Arial" w:cs="Arial"/>
          <w:kern w:val="2"/>
          <w14:ligatures w14:val="standardContextual"/>
        </w:rPr>
        <w:t>Los equipos de cómputo hacen parte del sector de Tecnologías de la Información y las Comunicaciones (TIC), específicamente del subsector de hardware, que incluye:</w:t>
      </w:r>
      <w:r>
        <w:rPr>
          <w:rFonts w:ascii="Arial" w:eastAsia="Aptos" w:hAnsi="Arial" w:cs="Arial"/>
          <w:kern w:val="2"/>
          <w14:ligatures w14:val="standardContextual"/>
        </w:rPr>
        <w:t xml:space="preserve"> c</w:t>
      </w:r>
      <w:r w:rsidRPr="009E0217">
        <w:rPr>
          <w:rFonts w:ascii="Arial" w:eastAsia="Aptos" w:hAnsi="Arial" w:cs="Arial"/>
          <w:kern w:val="2"/>
          <w14:ligatures w14:val="standardContextual"/>
        </w:rPr>
        <w:t>omputadores de escritorio y portátiles</w:t>
      </w:r>
      <w:r>
        <w:rPr>
          <w:rFonts w:ascii="Arial" w:eastAsia="Aptos" w:hAnsi="Arial" w:cs="Arial"/>
          <w:kern w:val="2"/>
          <w14:ligatures w14:val="standardContextual"/>
        </w:rPr>
        <w:t>, impresoras, s</w:t>
      </w:r>
      <w:r w:rsidRPr="009E0217">
        <w:rPr>
          <w:rFonts w:ascii="Arial" w:eastAsia="Aptos" w:hAnsi="Arial" w:cs="Arial"/>
          <w:kern w:val="2"/>
          <w14:ligatures w14:val="standardContextual"/>
        </w:rPr>
        <w:t>ervidores y periféricos</w:t>
      </w:r>
      <w:r>
        <w:rPr>
          <w:rFonts w:ascii="Arial" w:eastAsia="Aptos" w:hAnsi="Arial" w:cs="Arial"/>
          <w:kern w:val="2"/>
          <w14:ligatures w14:val="standardContextual"/>
        </w:rPr>
        <w:t xml:space="preserve">. </w:t>
      </w:r>
      <w:r w:rsidRPr="009E0217">
        <w:rPr>
          <w:rFonts w:ascii="Arial" w:eastAsia="Aptos" w:hAnsi="Arial" w:cs="Arial"/>
          <w:kern w:val="2"/>
          <w14:ligatures w14:val="standardContextual"/>
        </w:rPr>
        <w:t>Este sector se articula con el software, servicios digitales y telecomunicaciones, formando un ecosistema tecnológico integra</w:t>
      </w:r>
      <w:r w:rsidR="00CA34BE">
        <w:rPr>
          <w:rFonts w:ascii="Arial" w:eastAsia="Aptos" w:hAnsi="Arial" w:cs="Arial"/>
          <w:kern w:val="2"/>
          <w14:ligatures w14:val="standardContextual"/>
        </w:rPr>
        <w:t>l.</w:t>
      </w:r>
    </w:p>
    <w:p w14:paraId="6501D410" w14:textId="61D4B937" w:rsidR="0011109E" w:rsidRDefault="0011109E" w:rsidP="0011109E">
      <w:pPr>
        <w:spacing w:line="278" w:lineRule="auto"/>
        <w:jc w:val="both"/>
        <w:rPr>
          <w:rFonts w:ascii="Arial" w:eastAsia="Aptos" w:hAnsi="Arial" w:cs="Arial"/>
          <w:kern w:val="2"/>
          <w14:ligatures w14:val="standardContextual"/>
        </w:rPr>
      </w:pPr>
      <w:r>
        <w:rPr>
          <w:rFonts w:ascii="Arial" w:eastAsia="Aptos" w:hAnsi="Arial" w:cs="Arial"/>
          <w:kern w:val="2"/>
          <w14:ligatures w14:val="standardContextual"/>
        </w:rPr>
        <w:t xml:space="preserve">En la clasificación CIIU pertenecen a la </w:t>
      </w:r>
      <w:r w:rsidRPr="0011109E">
        <w:rPr>
          <w:rFonts w:ascii="Arial" w:eastAsia="Aptos" w:hAnsi="Arial" w:cs="Arial"/>
          <w:kern w:val="2"/>
          <w14:ligatures w14:val="standardContextual"/>
        </w:rPr>
        <w:t>Clase</w:t>
      </w:r>
      <w:r>
        <w:rPr>
          <w:rFonts w:ascii="Arial" w:eastAsia="Aptos" w:hAnsi="Arial" w:cs="Arial"/>
          <w:kern w:val="2"/>
          <w14:ligatures w14:val="standardContextual"/>
        </w:rPr>
        <w:t xml:space="preserve"> </w:t>
      </w:r>
      <w:r w:rsidRPr="0011109E">
        <w:rPr>
          <w:rFonts w:ascii="Arial" w:eastAsia="Aptos" w:hAnsi="Arial" w:cs="Arial"/>
          <w:kern w:val="2"/>
          <w14:ligatures w14:val="standardContextual"/>
        </w:rPr>
        <w:t>4741</w:t>
      </w:r>
      <w:r>
        <w:rPr>
          <w:rFonts w:ascii="Arial" w:eastAsia="Aptos" w:hAnsi="Arial" w:cs="Arial"/>
          <w:kern w:val="2"/>
          <w14:ligatures w14:val="standardContextual"/>
        </w:rPr>
        <w:t xml:space="preserve">: </w:t>
      </w:r>
      <w:r w:rsidRPr="0011109E">
        <w:rPr>
          <w:rFonts w:ascii="Arial" w:eastAsia="Aptos" w:hAnsi="Arial" w:cs="Arial"/>
          <w:kern w:val="2"/>
          <w14:ligatures w14:val="standardContextual"/>
        </w:rPr>
        <w:t>Comercio al por menor de computadores, equipos periféricos, programas de informática y equipos de telecomunicaciones en establecimientos especializados</w:t>
      </w:r>
      <w:r>
        <w:rPr>
          <w:rFonts w:ascii="Arial" w:eastAsia="Aptos" w:hAnsi="Arial" w:cs="Arial"/>
          <w:kern w:val="2"/>
          <w14:ligatures w14:val="standardContextual"/>
        </w:rPr>
        <w:t xml:space="preserve">. </w:t>
      </w:r>
      <w:r w:rsidRPr="0011109E">
        <w:rPr>
          <w:rFonts w:ascii="Arial" w:eastAsia="Aptos" w:hAnsi="Arial" w:cs="Arial"/>
          <w:kern w:val="2"/>
          <w14:ligatures w14:val="standardContextual"/>
        </w:rPr>
        <w:t>Esta clase incluye</w:t>
      </w:r>
      <w:r>
        <w:rPr>
          <w:rFonts w:ascii="Arial" w:eastAsia="Aptos" w:hAnsi="Arial" w:cs="Arial"/>
          <w:kern w:val="2"/>
          <w14:ligatures w14:val="standardContextual"/>
        </w:rPr>
        <w:t xml:space="preserve"> e</w:t>
      </w:r>
      <w:r w:rsidRPr="0011109E">
        <w:rPr>
          <w:rFonts w:ascii="Arial" w:eastAsia="Aptos" w:hAnsi="Arial" w:cs="Arial"/>
          <w:kern w:val="2"/>
          <w14:ligatures w14:val="standardContextual"/>
        </w:rPr>
        <w:t>l comercio al por menor de computadores, equipo periférico, consolas de videojuegos, programas de informática no personalizados, incluidos los videojuegos y el comercio al por menor de equipos de telecomunicaciones como teléfonos celulares, buscapersonas, etc.</w:t>
      </w:r>
    </w:p>
    <w:p w14:paraId="262BBE95" w14:textId="77777777" w:rsidR="0080607B" w:rsidRDefault="0080607B" w:rsidP="0080607B">
      <w:pPr>
        <w:spacing w:line="278" w:lineRule="auto"/>
        <w:jc w:val="both"/>
        <w:rPr>
          <w:rFonts w:ascii="Arial" w:eastAsia="Aptos" w:hAnsi="Arial" w:cs="Arial"/>
          <w:kern w:val="2"/>
          <w14:ligatures w14:val="standardContextual"/>
        </w:rPr>
      </w:pPr>
      <w:r w:rsidRPr="0080607B">
        <w:rPr>
          <w:rFonts w:ascii="Arial" w:eastAsia="Aptos" w:hAnsi="Arial" w:cs="Arial"/>
          <w:kern w:val="2"/>
          <w14:ligatures w14:val="standardContextual"/>
        </w:rPr>
        <w:t>El mercado de equipos de cómputo en Colombia se caracteriza por una alta disponibilidad de proveedores, tanto nacionales como internacionales, incluyendo fabricantes, distribuidores autorizados y comercializadores. Existe presencia de marcas reconocidas a nivel global, lo que garantiza diversidad de opciones en términos de calidad, precios y especificaciones técnicas.</w:t>
      </w:r>
    </w:p>
    <w:p w14:paraId="565CBE68" w14:textId="31407111" w:rsidR="0080607B" w:rsidRDefault="0080607B" w:rsidP="0080607B">
      <w:pPr>
        <w:spacing w:line="278" w:lineRule="auto"/>
        <w:jc w:val="both"/>
        <w:rPr>
          <w:rFonts w:ascii="Arial" w:eastAsia="Aptos" w:hAnsi="Arial" w:cs="Arial"/>
          <w:kern w:val="2"/>
          <w14:ligatures w14:val="standardContextual"/>
        </w:rPr>
      </w:pPr>
      <w:r w:rsidRPr="0080607B">
        <w:rPr>
          <w:rFonts w:ascii="Arial" w:eastAsia="Aptos" w:hAnsi="Arial" w:cs="Arial"/>
          <w:kern w:val="2"/>
          <w14:ligatures w14:val="standardContextual"/>
        </w:rPr>
        <w:t>No obstante, la oferta nacional depende en gran medida de la importación de equipos y componentes tecnológicos, lo que puede incidir en tiempos de entrega y disponibilidad.</w:t>
      </w:r>
    </w:p>
    <w:p w14:paraId="087674A5" w14:textId="5C2FD26A" w:rsidR="00CA34BE" w:rsidRDefault="0080607B" w:rsidP="009E0217">
      <w:pPr>
        <w:spacing w:line="278" w:lineRule="auto"/>
        <w:jc w:val="both"/>
        <w:rPr>
          <w:rFonts w:ascii="Arial" w:eastAsia="Aptos" w:hAnsi="Arial" w:cs="Arial"/>
          <w:kern w:val="2"/>
          <w14:ligatures w14:val="standardContextual"/>
        </w:rPr>
      </w:pPr>
      <w:r w:rsidRPr="0080607B">
        <w:rPr>
          <w:rFonts w:ascii="Arial" w:eastAsia="Aptos" w:hAnsi="Arial" w:cs="Arial"/>
          <w:kern w:val="2"/>
          <w14:ligatures w14:val="standardContextual"/>
        </w:rPr>
        <w:lastRenderedPageBreak/>
        <w:t>La demanda de equipos de cómputo ha presentado un crecimiento sostenido, impulsado por la transformación digital del Estado, la implementación de estrategias de Gobierno Digital, la necesidad de fortalecer procesos administrativos y la adopción de esquemas de trabajo remoto e híbrido</w:t>
      </w:r>
      <w:r>
        <w:rPr>
          <w:rFonts w:ascii="Arial" w:eastAsia="Aptos" w:hAnsi="Arial" w:cs="Arial"/>
          <w:kern w:val="2"/>
          <w14:ligatures w14:val="standardContextual"/>
        </w:rPr>
        <w:t>.</w:t>
      </w:r>
    </w:p>
    <w:p w14:paraId="1924922F" w14:textId="03DCB393" w:rsidR="0080607B" w:rsidRDefault="0080607B" w:rsidP="009E0217">
      <w:pPr>
        <w:spacing w:line="278" w:lineRule="auto"/>
        <w:jc w:val="both"/>
        <w:rPr>
          <w:rFonts w:ascii="Arial" w:eastAsia="Aptos" w:hAnsi="Arial" w:cs="Arial"/>
          <w:kern w:val="2"/>
          <w14:ligatures w14:val="standardContextual"/>
        </w:rPr>
      </w:pPr>
      <w:r w:rsidRPr="0080607B">
        <w:rPr>
          <w:rFonts w:ascii="Arial" w:eastAsia="Aptos" w:hAnsi="Arial" w:cs="Arial"/>
          <w:kern w:val="2"/>
          <w14:ligatures w14:val="standardContextual"/>
        </w:rPr>
        <w:t>Los precios están influenciados por factores como la tasa de cambio (TRM), especificaciones técnicas, marca, garantías y costos logísticos. Se recomienda realizar estudios de mercado actualizados para asegurar condiciones favorables.</w:t>
      </w:r>
    </w:p>
    <w:p w14:paraId="2165029B" w14:textId="559DE487" w:rsidR="0080607B" w:rsidRDefault="0080607B" w:rsidP="009E0217">
      <w:pPr>
        <w:spacing w:line="278" w:lineRule="auto"/>
        <w:jc w:val="both"/>
        <w:rPr>
          <w:rFonts w:ascii="Arial" w:eastAsia="Aptos" w:hAnsi="Arial" w:cs="Arial"/>
          <w:kern w:val="2"/>
          <w14:ligatures w14:val="standardContextual"/>
        </w:rPr>
      </w:pPr>
      <w:r w:rsidRPr="0080607B">
        <w:rPr>
          <w:rFonts w:ascii="Arial" w:eastAsia="Aptos" w:hAnsi="Arial" w:cs="Arial"/>
          <w:kern w:val="2"/>
          <w14:ligatures w14:val="standardContextual"/>
        </w:rPr>
        <w:t>El sector TIC presenta crecimiento sostenido impulsado por la digitalización, inteligencia artificial y computación en la nube, lo que incrementa la demanda de infraestructura tecnológica.</w:t>
      </w:r>
    </w:p>
    <w:p w14:paraId="06DF89A2" w14:textId="77777777" w:rsidR="00B00F57" w:rsidRDefault="00B00F57" w:rsidP="00B00F57">
      <w:pPr>
        <w:keepNext/>
        <w:keepLines/>
        <w:spacing w:before="160" w:after="80" w:line="278" w:lineRule="auto"/>
        <w:outlineLvl w:val="1"/>
        <w:rPr>
          <w:rFonts w:ascii="Arial" w:eastAsia="Times New Roman" w:hAnsi="Arial" w:cs="Arial"/>
          <w:b/>
          <w:color w:val="000000"/>
          <w:kern w:val="2"/>
          <w14:ligatures w14:val="standardContextual"/>
        </w:rPr>
      </w:pPr>
    </w:p>
    <w:p w14:paraId="14CAF662" w14:textId="14E7421A" w:rsidR="0011109E" w:rsidRPr="00376AE3" w:rsidRDefault="00B3571B" w:rsidP="00B00F57">
      <w:pPr>
        <w:keepNext/>
        <w:keepLines/>
        <w:spacing w:before="160" w:after="80" w:line="278" w:lineRule="auto"/>
        <w:outlineLvl w:val="1"/>
        <w:rPr>
          <w:rFonts w:ascii="Arial" w:eastAsia="Times New Roman" w:hAnsi="Arial" w:cs="Arial"/>
          <w:b/>
          <w:color w:val="000000"/>
          <w:kern w:val="2"/>
          <w14:ligatures w14:val="standardContextual"/>
        </w:rPr>
      </w:pPr>
      <w:r w:rsidRPr="00376AE3">
        <w:rPr>
          <w:rFonts w:ascii="Arial" w:eastAsia="Times New Roman" w:hAnsi="Arial" w:cs="Arial"/>
          <w:b/>
          <w:color w:val="000000"/>
          <w:kern w:val="2"/>
          <w14:ligatures w14:val="standardContextual"/>
        </w:rPr>
        <w:t xml:space="preserve">Comportamiento Económico </w:t>
      </w:r>
    </w:p>
    <w:p w14:paraId="38469E1B" w14:textId="655938D5" w:rsidR="0011109E" w:rsidRDefault="002258F1" w:rsidP="002258F1">
      <w:pPr>
        <w:spacing w:line="278" w:lineRule="auto"/>
        <w:jc w:val="both"/>
        <w:rPr>
          <w:rFonts w:ascii="Arial" w:eastAsia="Aptos" w:hAnsi="Arial" w:cs="Arial"/>
          <w:kern w:val="2"/>
          <w14:ligatures w14:val="standardContextual"/>
        </w:rPr>
      </w:pPr>
      <w:r w:rsidRPr="002258F1">
        <w:rPr>
          <w:rFonts w:ascii="Arial" w:eastAsia="Aptos" w:hAnsi="Arial" w:cs="Arial"/>
          <w:kern w:val="2"/>
          <w14:ligatures w14:val="standardContextual"/>
        </w:rPr>
        <w:t>El mercado de PC creció un 9% en 2025, pero la falta de componentes empaña el 2026</w:t>
      </w:r>
      <w:r>
        <w:rPr>
          <w:rFonts w:ascii="Arial" w:eastAsia="Aptos" w:hAnsi="Arial" w:cs="Arial"/>
          <w:kern w:val="2"/>
          <w14:ligatures w14:val="standardContextual"/>
        </w:rPr>
        <w:t xml:space="preserve">. </w:t>
      </w:r>
      <w:r w:rsidRPr="002258F1">
        <w:rPr>
          <w:rFonts w:ascii="Arial" w:eastAsia="Aptos" w:hAnsi="Arial" w:cs="Arial"/>
          <w:kern w:val="2"/>
          <w14:ligatures w14:val="standardContextual"/>
        </w:rPr>
        <w:t xml:space="preserve">Aunque el rendimiento general del mercado de PC en 2025 fue positivo, la oferta de memoria y almacenamiento se redujo, y la consiguiente presión al alza de precios surgió a mediados de año. "Entre el primer y el cuarto trimestre de 2025, los costos de memoria y almacenamiento para PC convencionales aumentaron entre un 40% y un 70%, lo que provocó que los aumentos de costos se trasladaran a los clientes", afirmó Ben Yeh, Analista principal de </w:t>
      </w:r>
      <w:proofErr w:type="spellStart"/>
      <w:r w:rsidRPr="002258F1">
        <w:rPr>
          <w:rFonts w:ascii="Arial" w:eastAsia="Aptos" w:hAnsi="Arial" w:cs="Arial"/>
          <w:kern w:val="2"/>
          <w14:ligatures w14:val="standardContextual"/>
        </w:rPr>
        <w:t>Omdi</w:t>
      </w:r>
      <w:proofErr w:type="spellEnd"/>
      <w:r>
        <w:rPr>
          <w:rFonts w:ascii="Arial" w:eastAsia="Aptos" w:hAnsi="Arial" w:cs="Arial"/>
          <w:kern w:val="2"/>
          <w14:ligatures w14:val="standardContextual"/>
        </w:rPr>
        <w:t>.</w:t>
      </w:r>
    </w:p>
    <w:p w14:paraId="648EEF21" w14:textId="77777777" w:rsidR="002258F1" w:rsidRPr="002258F1" w:rsidRDefault="002258F1" w:rsidP="002258F1">
      <w:pPr>
        <w:spacing w:line="278" w:lineRule="auto"/>
        <w:jc w:val="both"/>
        <w:rPr>
          <w:rFonts w:ascii="Arial" w:eastAsia="Aptos" w:hAnsi="Arial" w:cs="Arial"/>
          <w:kern w:val="2"/>
          <w14:ligatures w14:val="standardContextual"/>
        </w:rPr>
      </w:pPr>
      <w:r w:rsidRPr="002258F1">
        <w:rPr>
          <w:rFonts w:ascii="Arial" w:eastAsia="Aptos" w:hAnsi="Arial" w:cs="Arial"/>
          <w:kern w:val="2"/>
          <w14:ligatures w14:val="standardContextual"/>
        </w:rPr>
        <w:t xml:space="preserve">El último estudio de </w:t>
      </w:r>
      <w:proofErr w:type="spellStart"/>
      <w:r w:rsidRPr="002258F1">
        <w:rPr>
          <w:rFonts w:ascii="Arial" w:eastAsia="Aptos" w:hAnsi="Arial" w:cs="Arial"/>
          <w:kern w:val="2"/>
          <w14:ligatures w14:val="standardContextual"/>
        </w:rPr>
        <w:t>Omdia</w:t>
      </w:r>
      <w:proofErr w:type="spellEnd"/>
      <w:r w:rsidRPr="002258F1">
        <w:rPr>
          <w:rFonts w:ascii="Arial" w:eastAsia="Aptos" w:hAnsi="Arial" w:cs="Arial"/>
          <w:kern w:val="2"/>
          <w14:ligatures w14:val="standardContextual"/>
        </w:rPr>
        <w:t xml:space="preserve"> revela que los envíos totales de ordenadores de sobremesa, portátiles y estaciones de trabajo en el cuarto trimestre de 2025 crecieron un 10,1 %, alcanzando los 75 millones de unidades. Esto elevó los envíos de PC para todo el año 2025 a 279,5 millones de unidades, un aumento del 9,2 % con respecto a los volúmenes de 2024. Los envíos de portátiles (incluidas las estaciones de trabajo móviles) alcanzaron los 58,6 millones de unidades en el cuarto trimestre y los 220,4 millones de unidades en el año completo, logrando un crecimiento del 8 % en 2025. Los envíos de ordenadores de sobremesa (incluidas las estaciones de trabajo) en el cuarto trimestre alcanzaron los 16,2 millones de unidades, lo que elevó el volumen total de 2025 a 59 millones de unidades, un aumento del 14,4 % con respecto al año anterior.</w:t>
      </w:r>
    </w:p>
    <w:p w14:paraId="3964D5B9" w14:textId="5622479A" w:rsidR="002258F1" w:rsidRDefault="002258F1" w:rsidP="002258F1">
      <w:pPr>
        <w:spacing w:line="278" w:lineRule="auto"/>
        <w:jc w:val="both"/>
        <w:rPr>
          <w:rFonts w:ascii="Arial" w:eastAsia="Aptos" w:hAnsi="Arial" w:cs="Arial"/>
          <w:kern w:val="2"/>
          <w14:ligatures w14:val="standardContextual"/>
        </w:rPr>
      </w:pPr>
      <w:r w:rsidRPr="002258F1">
        <w:rPr>
          <w:rFonts w:ascii="Arial" w:eastAsia="Aptos" w:hAnsi="Arial" w:cs="Arial"/>
          <w:kern w:val="2"/>
          <w14:ligatures w14:val="standardContextual"/>
        </w:rPr>
        <w:t xml:space="preserve">Aunque el rendimiento general del mercado de PC en 2025 fue positivo, la oferta de memoria y almacenamiento se redujo, y la consiguiente presión al alza de precios surgió a mediados de año. En diciembre de 2025, los proveedores de PC comenzaron a indicar sus expectativas de aumentos de precios. Sumado a la imposibilidad de asegurar un suministro suficiente, esto ya ha reducido las expectativas de envíos previstas para 2026. Entre el primer y el cuarto trimestre de 2025, los costos de memoria y almacenamiento para PC convencionales aumentaron entre un 40% y un 70%, lo que provocó que los aumentos de costos se trasladaran a los clientes», afirmó Ben Yeh, Analista principal de </w:t>
      </w:r>
      <w:proofErr w:type="spellStart"/>
      <w:r w:rsidRPr="002258F1">
        <w:rPr>
          <w:rFonts w:ascii="Arial" w:eastAsia="Aptos" w:hAnsi="Arial" w:cs="Arial"/>
          <w:kern w:val="2"/>
          <w14:ligatures w14:val="standardContextual"/>
        </w:rPr>
        <w:t>Omdia</w:t>
      </w:r>
      <w:proofErr w:type="spellEnd"/>
      <w:r w:rsidRPr="002258F1">
        <w:rPr>
          <w:rFonts w:ascii="Arial" w:eastAsia="Aptos" w:hAnsi="Arial" w:cs="Arial"/>
          <w:kern w:val="2"/>
          <w14:ligatures w14:val="standardContextual"/>
        </w:rPr>
        <w:t>. «Dada la escasez de oferta en 2026, la industria está priorizando los SKU de gama alta y las configuraciones más eficientes de gama media a baja para proteger los márgenes.</w:t>
      </w:r>
    </w:p>
    <w:p w14:paraId="6C0FD643" w14:textId="60175281" w:rsidR="002258F1" w:rsidRDefault="002258F1" w:rsidP="002258F1">
      <w:pPr>
        <w:spacing w:line="278" w:lineRule="auto"/>
        <w:jc w:val="both"/>
        <w:rPr>
          <w:rFonts w:ascii="Arial" w:eastAsia="Aptos" w:hAnsi="Arial" w:cs="Arial"/>
          <w:kern w:val="2"/>
          <w14:ligatures w14:val="standardContextual"/>
        </w:rPr>
      </w:pPr>
      <w:r>
        <w:rPr>
          <w:rFonts w:ascii="Arial" w:eastAsia="Aptos" w:hAnsi="Arial" w:cs="Arial"/>
          <w:kern w:val="2"/>
          <w14:ligatures w14:val="standardContextual"/>
        </w:rPr>
        <w:t xml:space="preserve">Fuente: </w:t>
      </w:r>
      <w:hyperlink r:id="rId8" w:history="1">
        <w:r w:rsidRPr="002A4CE4">
          <w:rPr>
            <w:rStyle w:val="Hipervnculo"/>
            <w:rFonts w:ascii="Arial" w:eastAsia="Aptos" w:hAnsi="Arial" w:cs="Arial"/>
            <w:kern w:val="2"/>
            <w14:ligatures w14:val="standardContextual"/>
          </w:rPr>
          <w:t>https://itwarelatam.com/2026/01/12/omdia-el-mercado-de-pc-crecio-un-9-en-2025-pero-la-falta-de-componentes-empana-el-2026/?utm_source=chatgpt.com</w:t>
        </w:r>
      </w:hyperlink>
    </w:p>
    <w:p w14:paraId="71FD1FA8" w14:textId="77777777" w:rsidR="002258F1" w:rsidRDefault="002258F1" w:rsidP="002258F1">
      <w:pPr>
        <w:spacing w:line="278" w:lineRule="auto"/>
        <w:jc w:val="both"/>
        <w:rPr>
          <w:rFonts w:ascii="Arial" w:eastAsia="Aptos" w:hAnsi="Arial" w:cs="Arial"/>
          <w:kern w:val="2"/>
          <w14:ligatures w14:val="standardContextual"/>
        </w:rPr>
      </w:pPr>
    </w:p>
    <w:p w14:paraId="230377A6" w14:textId="77777777" w:rsidR="0011109E" w:rsidRDefault="0011109E" w:rsidP="00B3571B">
      <w:pPr>
        <w:spacing w:line="278" w:lineRule="auto"/>
        <w:jc w:val="both"/>
        <w:rPr>
          <w:rFonts w:ascii="Arial" w:eastAsia="Aptos" w:hAnsi="Arial" w:cs="Arial"/>
          <w:kern w:val="2"/>
          <w14:ligatures w14:val="standardContextual"/>
        </w:rPr>
      </w:pPr>
    </w:p>
    <w:bookmarkEnd w:id="1"/>
    <w:bookmarkEnd w:id="2"/>
    <w:bookmarkEnd w:id="3"/>
    <w:p w14:paraId="64FDC5B7" w14:textId="35350039" w:rsidR="000F6AC5" w:rsidRDefault="000F6AC5" w:rsidP="00B00F57">
      <w:pPr>
        <w:keepNext/>
        <w:keepLines/>
        <w:spacing w:before="240" w:line="278" w:lineRule="auto"/>
        <w:outlineLvl w:val="1"/>
        <w:rPr>
          <w:rFonts w:ascii="Arial" w:eastAsia="Times New Roman" w:hAnsi="Arial" w:cs="Arial"/>
          <w:b/>
          <w:color w:val="000000"/>
          <w:kern w:val="2"/>
          <w14:ligatures w14:val="standardContextual"/>
        </w:rPr>
      </w:pPr>
      <w:r w:rsidRPr="00376AE3">
        <w:rPr>
          <w:rFonts w:ascii="Arial" w:eastAsia="Times New Roman" w:hAnsi="Arial" w:cs="Arial"/>
          <w:b/>
          <w:color w:val="000000"/>
          <w:kern w:val="2"/>
          <w14:ligatures w14:val="standardContextual"/>
        </w:rPr>
        <w:t xml:space="preserve">Panorama </w:t>
      </w:r>
      <w:r w:rsidR="001B4442" w:rsidRPr="001B4442">
        <w:rPr>
          <w:rFonts w:ascii="Arial" w:eastAsia="Times New Roman" w:hAnsi="Arial" w:cs="Arial"/>
          <w:b/>
          <w:color w:val="000000"/>
          <w:kern w:val="2"/>
          <w14:ligatures w14:val="standardContextual"/>
        </w:rPr>
        <w:t xml:space="preserve">de las importaciones de hardware en </w:t>
      </w:r>
      <w:r w:rsidR="001B4442">
        <w:rPr>
          <w:rFonts w:ascii="Arial" w:eastAsia="Times New Roman" w:hAnsi="Arial" w:cs="Arial"/>
          <w:b/>
          <w:color w:val="000000"/>
          <w:kern w:val="2"/>
          <w14:ligatures w14:val="standardContextual"/>
        </w:rPr>
        <w:t>C</w:t>
      </w:r>
      <w:r w:rsidR="001B4442" w:rsidRPr="001B4442">
        <w:rPr>
          <w:rFonts w:ascii="Arial" w:eastAsia="Times New Roman" w:hAnsi="Arial" w:cs="Arial"/>
          <w:b/>
          <w:color w:val="000000"/>
          <w:kern w:val="2"/>
          <w14:ligatures w14:val="standardContextual"/>
        </w:rPr>
        <w:t>olombia a diciembre del 2025</w:t>
      </w:r>
      <w:r w:rsidRPr="00376AE3">
        <w:rPr>
          <w:rFonts w:ascii="Arial" w:eastAsia="Times New Roman" w:hAnsi="Arial" w:cs="Arial"/>
          <w:b/>
          <w:color w:val="000000"/>
          <w:kern w:val="2"/>
          <w14:ligatures w14:val="standardContextual"/>
        </w:rPr>
        <w:t>.</w:t>
      </w:r>
    </w:p>
    <w:p w14:paraId="57593767" w14:textId="77777777" w:rsidR="006B5001" w:rsidRDefault="001B4442" w:rsidP="000F6AC5">
      <w:pPr>
        <w:spacing w:before="240" w:line="278" w:lineRule="auto"/>
        <w:jc w:val="both"/>
        <w:rPr>
          <w:rFonts w:ascii="Arial" w:eastAsia="Aptos" w:hAnsi="Arial" w:cs="Arial"/>
          <w:kern w:val="2"/>
          <w14:ligatures w14:val="standardContextual"/>
        </w:rPr>
      </w:pPr>
      <w:r w:rsidRPr="001B4442">
        <w:rPr>
          <w:rFonts w:ascii="Arial" w:eastAsia="Aptos" w:hAnsi="Arial" w:cs="Arial"/>
          <w:kern w:val="2"/>
          <w14:ligatures w14:val="standardContextual"/>
        </w:rPr>
        <w:t>Al cierre de diciembre de 2025, el panorama de las importaciones de hardware y tecnología en Colombia mostró una recuperación sólida, impulsada principalmente por la necesidad de modernización empresarial y el auge de componentes especializados para inteligencia artificial.</w:t>
      </w:r>
      <w:r w:rsidR="006B5001">
        <w:rPr>
          <w:rFonts w:ascii="Arial" w:eastAsia="Aptos" w:hAnsi="Arial" w:cs="Arial"/>
          <w:kern w:val="2"/>
          <w14:ligatures w14:val="standardContextual"/>
        </w:rPr>
        <w:t xml:space="preserve"> </w:t>
      </w:r>
    </w:p>
    <w:p w14:paraId="26DC9B7B" w14:textId="05899A93" w:rsidR="006B5001" w:rsidRDefault="001B4442" w:rsidP="000F6AC5">
      <w:pPr>
        <w:spacing w:before="240" w:line="278" w:lineRule="auto"/>
        <w:jc w:val="both"/>
        <w:rPr>
          <w:rFonts w:ascii="Arial" w:eastAsia="Aptos" w:hAnsi="Arial" w:cs="Arial"/>
          <w:kern w:val="2"/>
          <w14:ligatures w14:val="standardContextual"/>
        </w:rPr>
      </w:pPr>
      <w:r w:rsidRPr="001B4442">
        <w:rPr>
          <w:rFonts w:ascii="Arial" w:eastAsia="Aptos" w:hAnsi="Arial" w:cs="Arial"/>
          <w:kern w:val="2"/>
          <w14:ligatures w14:val="standardContextual"/>
        </w:rPr>
        <w:t>De acuerdo con las cifras consolidadas del DANE, este es el balance del comportamiento del sector al finalizar el año:1. Cifras Generales y Crecimiento</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Cierre de diciembre: Las importaciones totales del país crecieron un 7,1% en diciembre de 2025 en comparación con el mismo mes de 2024, alcanzando los US$6.050,7 millones.</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 xml:space="preserve">Acumulado anual (Enero-Diciembre 2025): El crecimiento anual fue del 10%, con un valor total de US$70.502 millones. </w:t>
      </w:r>
    </w:p>
    <w:p w14:paraId="188BCA28" w14:textId="77777777" w:rsidR="006B5001" w:rsidRDefault="001B4442" w:rsidP="000F6AC5">
      <w:pPr>
        <w:spacing w:before="240" w:line="278" w:lineRule="auto"/>
        <w:jc w:val="both"/>
        <w:rPr>
          <w:rFonts w:ascii="Arial" w:eastAsia="Aptos" w:hAnsi="Arial" w:cs="Arial"/>
          <w:kern w:val="2"/>
          <w14:ligatures w14:val="standardContextual"/>
        </w:rPr>
      </w:pPr>
      <w:r w:rsidRPr="001B4442">
        <w:rPr>
          <w:rFonts w:ascii="Arial" w:eastAsia="Aptos" w:hAnsi="Arial" w:cs="Arial"/>
          <w:kern w:val="2"/>
          <w14:ligatures w14:val="standardContextual"/>
        </w:rPr>
        <w:t>El grupo de Manufacturas, que incluye la mayor parte del hardware y equipos de procesamiento de datos, fue el motor principal con un aumento del 12,5%.2. Composición del Hardware Importado</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Dentro del grupo de manufacturas, los productos con mayor dinamismo fueron:</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Maquinaria y equipo de transporte: Representaron el 14,3% del total de la torta de importación.</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 xml:space="preserve">Maquinaria de oficina y procesamiento de datos: Este rubro (donde entran laptops, servidores y </w:t>
      </w:r>
      <w:proofErr w:type="spellStart"/>
      <w:r w:rsidRPr="001B4442">
        <w:rPr>
          <w:rFonts w:ascii="Arial" w:eastAsia="Aptos" w:hAnsi="Arial" w:cs="Arial"/>
          <w:kern w:val="2"/>
          <w14:ligatures w14:val="standardContextual"/>
        </w:rPr>
        <w:t>PCs</w:t>
      </w:r>
      <w:proofErr w:type="spellEnd"/>
      <w:r w:rsidRPr="001B4442">
        <w:rPr>
          <w:rFonts w:ascii="Arial" w:eastAsia="Aptos" w:hAnsi="Arial" w:cs="Arial"/>
          <w:kern w:val="2"/>
          <w14:ligatures w14:val="standardContextual"/>
        </w:rPr>
        <w:t>) mantuvo un flujo constante, aunque con una tendencia hacia equipos de mayor gama (High-End) para tareas de analítica de datos.</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Aparatos de telecomunicaciones: Crecieron significativamente debido a la expansión de la infraestructura 5G y la renovación de dispositivos móviles.3. Principales Orígenes del Hardware</w:t>
      </w:r>
      <w:r w:rsidR="006B5001">
        <w:rPr>
          <w:rFonts w:ascii="Arial" w:eastAsia="Aptos" w:hAnsi="Arial" w:cs="Arial"/>
          <w:kern w:val="2"/>
          <w14:ligatures w14:val="standardContextual"/>
        </w:rPr>
        <w:t xml:space="preserve"> </w:t>
      </w:r>
    </w:p>
    <w:p w14:paraId="22A2E13B" w14:textId="77777777" w:rsidR="006B5001" w:rsidRDefault="001B4442" w:rsidP="000F6AC5">
      <w:pPr>
        <w:spacing w:before="240" w:line="278" w:lineRule="auto"/>
        <w:jc w:val="both"/>
        <w:rPr>
          <w:rFonts w:ascii="Arial" w:eastAsia="Aptos" w:hAnsi="Arial" w:cs="Arial"/>
          <w:kern w:val="2"/>
          <w14:ligatures w14:val="standardContextual"/>
        </w:rPr>
      </w:pPr>
      <w:r w:rsidRPr="001B4442">
        <w:rPr>
          <w:rFonts w:ascii="Arial" w:eastAsia="Aptos" w:hAnsi="Arial" w:cs="Arial"/>
          <w:kern w:val="2"/>
          <w14:ligatures w14:val="standardContextual"/>
        </w:rPr>
        <w:t>La dependencia de los mercados asiáticos se profundizó durante 2025:</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China: Se consolidó como el principal proveedor con una participación del 27,5% del total de las importaciones. Las compras a este país crecieron un 21,6% en el año.</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Estados Unidos: Se mantuvo como el segundo socio, aunque con una ligera caída en su participación total (-1,8%).</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Corea del Sur: Sorprendió con un crecimiento exponencial del 40,9%, impulsado por la importación de semiconductores, pantallas y componentes electrónicos de alta tecnología.4. Factores Determinantes del Panorama</w:t>
      </w:r>
      <w:r w:rsidR="006B5001">
        <w:rPr>
          <w:rFonts w:ascii="Arial" w:eastAsia="Aptos" w:hAnsi="Arial" w:cs="Arial"/>
          <w:kern w:val="2"/>
          <w14:ligatures w14:val="standardContextual"/>
        </w:rPr>
        <w:t>.</w:t>
      </w:r>
    </w:p>
    <w:p w14:paraId="11083659" w14:textId="77777777" w:rsidR="006B5001" w:rsidRDefault="001B4442" w:rsidP="000F6AC5">
      <w:pPr>
        <w:spacing w:before="240" w:line="278" w:lineRule="auto"/>
        <w:jc w:val="both"/>
        <w:rPr>
          <w:rFonts w:ascii="Arial" w:eastAsia="Aptos" w:hAnsi="Arial" w:cs="Arial"/>
          <w:kern w:val="2"/>
          <w14:ligatures w14:val="standardContextual"/>
        </w:rPr>
      </w:pPr>
      <w:r w:rsidRPr="001B4442">
        <w:rPr>
          <w:rFonts w:ascii="Arial" w:eastAsia="Aptos" w:hAnsi="Arial" w:cs="Arial"/>
          <w:kern w:val="2"/>
          <w14:ligatures w14:val="standardContextual"/>
        </w:rPr>
        <w:t>Déficit Comercial: El año cerró con un déficit de US$16.377 millones, lo que refleja que Colombia sigue siendo un importador neto de tecnología de alto valor agregado.</w:t>
      </w:r>
      <w:r w:rsidR="006B5001">
        <w:rPr>
          <w:rFonts w:ascii="Arial" w:eastAsia="Aptos" w:hAnsi="Arial" w:cs="Arial"/>
          <w:kern w:val="2"/>
          <w14:ligatures w14:val="standardContextual"/>
        </w:rPr>
        <w:t xml:space="preserve"> </w:t>
      </w:r>
      <w:r w:rsidRPr="001B4442">
        <w:rPr>
          <w:rFonts w:ascii="Arial" w:eastAsia="Aptos" w:hAnsi="Arial" w:cs="Arial"/>
          <w:kern w:val="2"/>
          <w14:ligatures w14:val="standardContextual"/>
        </w:rPr>
        <w:t>Efecto IA: El segundo semestre de 2025 vio una sobredemanda de hardware con capacidades de aceleración por hardware (</w:t>
      </w:r>
      <w:proofErr w:type="spellStart"/>
      <w:r w:rsidRPr="001B4442">
        <w:rPr>
          <w:rFonts w:ascii="Arial" w:eastAsia="Aptos" w:hAnsi="Arial" w:cs="Arial"/>
          <w:kern w:val="2"/>
          <w14:ligatures w14:val="standardContextual"/>
        </w:rPr>
        <w:t>NPUs</w:t>
      </w:r>
      <w:proofErr w:type="spellEnd"/>
      <w:r w:rsidRPr="001B4442">
        <w:rPr>
          <w:rFonts w:ascii="Arial" w:eastAsia="Aptos" w:hAnsi="Arial" w:cs="Arial"/>
          <w:kern w:val="2"/>
          <w14:ligatures w14:val="standardContextual"/>
        </w:rPr>
        <w:t xml:space="preserve"> integradas), lo que elevó el costo promedio de las unidades importadas.</w:t>
      </w:r>
      <w:r w:rsidR="006B5001">
        <w:rPr>
          <w:rFonts w:ascii="Arial" w:eastAsia="Aptos" w:hAnsi="Arial" w:cs="Arial"/>
          <w:kern w:val="2"/>
          <w14:ligatures w14:val="standardContextual"/>
        </w:rPr>
        <w:t xml:space="preserve"> </w:t>
      </w:r>
    </w:p>
    <w:p w14:paraId="4495053D" w14:textId="38402CEC" w:rsidR="001B4442" w:rsidRDefault="001B4442" w:rsidP="000F6AC5">
      <w:pPr>
        <w:spacing w:before="240" w:line="278" w:lineRule="auto"/>
        <w:jc w:val="both"/>
        <w:rPr>
          <w:rFonts w:ascii="Arial" w:eastAsia="Aptos" w:hAnsi="Arial" w:cs="Arial"/>
          <w:kern w:val="2"/>
          <w14:ligatures w14:val="standardContextual"/>
        </w:rPr>
      </w:pPr>
      <w:r w:rsidRPr="001B4442">
        <w:rPr>
          <w:rFonts w:ascii="Arial" w:eastAsia="Aptos" w:hAnsi="Arial" w:cs="Arial"/>
          <w:kern w:val="2"/>
          <w14:ligatures w14:val="standardContextual"/>
        </w:rPr>
        <w:t>Tasa de Cambio: La estabilidad del dólar en el rango de los $3.700 durante gran parte del segundo semestre permitió a los importadores reponer inventarios de cara a la temporada decembrina sin trasladar aumentos excesivos al consumidor final.</w:t>
      </w:r>
    </w:p>
    <w:p w14:paraId="6215F601" w14:textId="77777777" w:rsidR="00B00F57" w:rsidRDefault="00B00F57" w:rsidP="00B00F57">
      <w:pPr>
        <w:spacing w:before="240" w:line="278" w:lineRule="auto"/>
        <w:jc w:val="both"/>
        <w:rPr>
          <w:rFonts w:ascii="Arial" w:eastAsia="Aptos" w:hAnsi="Arial" w:cs="Arial"/>
          <w:b/>
          <w:bCs/>
          <w:kern w:val="2"/>
          <w14:ligatures w14:val="standardContextual"/>
        </w:rPr>
      </w:pPr>
    </w:p>
    <w:p w14:paraId="249AB52C" w14:textId="77777777" w:rsidR="00B00F57" w:rsidRDefault="00B00F57" w:rsidP="00B00F57">
      <w:pPr>
        <w:spacing w:before="240" w:line="278" w:lineRule="auto"/>
        <w:jc w:val="both"/>
        <w:rPr>
          <w:rFonts w:ascii="Arial" w:eastAsia="Aptos" w:hAnsi="Arial" w:cs="Arial"/>
          <w:b/>
          <w:bCs/>
          <w:kern w:val="2"/>
          <w14:ligatures w14:val="standardContextual"/>
        </w:rPr>
      </w:pPr>
    </w:p>
    <w:p w14:paraId="4ED4A025" w14:textId="7F8B7880" w:rsidR="001B4442" w:rsidRPr="00B00F57" w:rsidRDefault="00F53F79" w:rsidP="00B00F57">
      <w:pPr>
        <w:spacing w:before="240" w:line="278" w:lineRule="auto"/>
        <w:jc w:val="both"/>
        <w:rPr>
          <w:rFonts w:ascii="Arial" w:eastAsia="Aptos" w:hAnsi="Arial" w:cs="Arial"/>
          <w:b/>
          <w:bCs/>
          <w:kern w:val="2"/>
          <w14:ligatures w14:val="standardContextual"/>
        </w:rPr>
      </w:pPr>
      <w:r w:rsidRPr="00B00F57">
        <w:rPr>
          <w:rFonts w:ascii="Arial" w:eastAsia="Aptos" w:hAnsi="Arial" w:cs="Arial"/>
          <w:b/>
          <w:bCs/>
          <w:kern w:val="2"/>
          <w14:ligatures w14:val="standardContextual"/>
        </w:rPr>
        <w:lastRenderedPageBreak/>
        <w:t>Estructura del mercado de hardware:</w:t>
      </w:r>
    </w:p>
    <w:p w14:paraId="749A5F65"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El mercado de hardware en Colombia, perteneciente al sector de Tecnologías de la Información y las Comunicaciones (TIC), se caracteriza por ser altamente competitivo, dependiente de importaciones y dinámico, con constante innovación tecnológica.</w:t>
      </w:r>
    </w:p>
    <w:p w14:paraId="08BC8914"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Este mercado comprende la comercialización de bienes como computadores de escritorio, portátiles, servidores y equipos periféricos (impresoras, monitores, escáneres, entre otros), los cuales son fundamentales para el desarrollo de actividades administrativas, operativas y misionales en entidades públicas y privadas.</w:t>
      </w:r>
    </w:p>
    <w:p w14:paraId="094D1C00" w14:textId="2745C122" w:rsidR="00F53F79" w:rsidRPr="00F53F79" w:rsidRDefault="00F53F79" w:rsidP="00F53F79">
      <w:pPr>
        <w:pStyle w:val="Prrafodelista"/>
        <w:numPr>
          <w:ilvl w:val="0"/>
          <w:numId w:val="26"/>
        </w:numPr>
        <w:spacing w:before="240" w:line="278" w:lineRule="auto"/>
        <w:jc w:val="both"/>
        <w:rPr>
          <w:rFonts w:ascii="Arial" w:eastAsia="Aptos" w:hAnsi="Arial" w:cs="Arial"/>
          <w:b/>
          <w:bCs/>
          <w:kern w:val="2"/>
          <w14:ligatures w14:val="standardContextual"/>
        </w:rPr>
      </w:pPr>
      <w:r w:rsidRPr="00F53F79">
        <w:rPr>
          <w:rFonts w:ascii="Arial" w:eastAsia="Aptos" w:hAnsi="Arial" w:cs="Arial"/>
          <w:b/>
          <w:bCs/>
          <w:kern w:val="2"/>
          <w14:ligatures w14:val="standardContextual"/>
        </w:rPr>
        <w:t>Cadena de valor del mercado</w:t>
      </w:r>
    </w:p>
    <w:p w14:paraId="70208184"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La estructura del mercado de hardware en Colombia se encuentra conformada por los siguientes eslabones:</w:t>
      </w:r>
    </w:p>
    <w:p w14:paraId="19FDD1D6" w14:textId="2E2CF684"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Fabricantes internacionales</w:t>
      </w:r>
    </w:p>
    <w:p w14:paraId="59B70551"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Corresponden a las empresas encargadas de la producción de equipos tecnológicos, ubicadas principalmente en mercados internacionales. Colombia no cuenta con una industria significativa de fabricación de hardware, por lo cual depende de estos actores.</w:t>
      </w:r>
    </w:p>
    <w:p w14:paraId="755E9E61" w14:textId="0DBC6044"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Importadores y mayoristas</w:t>
      </w:r>
    </w:p>
    <w:p w14:paraId="6AEC5BD5"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Son responsables de la introducción de los equipos al territorio nacional, gestionando procesos de importación, almacenamiento y distribución a gran escala.</w:t>
      </w:r>
    </w:p>
    <w:p w14:paraId="7A7B3615" w14:textId="2CDBEC34"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Distribuidores y comercializadores</w:t>
      </w:r>
    </w:p>
    <w:p w14:paraId="3D945D33"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Actúan como intermediarios entre los mayoristas y el usuario final, ofreciendo los productos a través de diferentes canales, incluyendo ventas institucionales y comerciales.</w:t>
      </w:r>
    </w:p>
    <w:p w14:paraId="3DF9FA44" w14:textId="10BD8DF2"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Canales de comercialización</w:t>
      </w:r>
    </w:p>
    <w:p w14:paraId="19696277"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El mercado se desarrolla a través de múltiples canales, entre los cuales se destacan:</w:t>
      </w:r>
    </w:p>
    <w:p w14:paraId="5F89A8C4" w14:textId="77777777" w:rsidR="00F53F79" w:rsidRPr="00F53F79" w:rsidRDefault="00F53F79" w:rsidP="00F53F79">
      <w:pPr>
        <w:pStyle w:val="Prrafodelista"/>
        <w:numPr>
          <w:ilvl w:val="0"/>
          <w:numId w:val="26"/>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Canal institucional (B2B): entidades públicas y empresas privadas</w:t>
      </w:r>
    </w:p>
    <w:p w14:paraId="3F1C48D6" w14:textId="77777777" w:rsidR="00F53F79" w:rsidRPr="00F53F79" w:rsidRDefault="00F53F79" w:rsidP="00F53F79">
      <w:pPr>
        <w:pStyle w:val="Prrafodelista"/>
        <w:numPr>
          <w:ilvl w:val="0"/>
          <w:numId w:val="26"/>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 xml:space="preserve">Canal </w:t>
      </w:r>
      <w:proofErr w:type="spellStart"/>
      <w:r w:rsidRPr="00F53F79">
        <w:rPr>
          <w:rFonts w:ascii="Arial" w:eastAsia="Aptos" w:hAnsi="Arial" w:cs="Arial"/>
          <w:kern w:val="2"/>
          <w14:ligatures w14:val="standardContextual"/>
        </w:rPr>
        <w:t>retail</w:t>
      </w:r>
      <w:proofErr w:type="spellEnd"/>
      <w:r w:rsidRPr="00F53F79">
        <w:rPr>
          <w:rFonts w:ascii="Arial" w:eastAsia="Aptos" w:hAnsi="Arial" w:cs="Arial"/>
          <w:kern w:val="2"/>
          <w14:ligatures w14:val="standardContextual"/>
        </w:rPr>
        <w:t>: grandes superficies y tiendas especializadas</w:t>
      </w:r>
    </w:p>
    <w:p w14:paraId="3B230738" w14:textId="77777777" w:rsidR="00F53F79" w:rsidRPr="00F53F79" w:rsidRDefault="00F53F79" w:rsidP="00F53F79">
      <w:pPr>
        <w:pStyle w:val="Prrafodelista"/>
        <w:numPr>
          <w:ilvl w:val="0"/>
          <w:numId w:val="26"/>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Comercio electrónico (e-</w:t>
      </w:r>
      <w:proofErr w:type="spellStart"/>
      <w:r w:rsidRPr="00F53F79">
        <w:rPr>
          <w:rFonts w:ascii="Arial" w:eastAsia="Aptos" w:hAnsi="Arial" w:cs="Arial"/>
          <w:kern w:val="2"/>
          <w14:ligatures w14:val="standardContextual"/>
        </w:rPr>
        <w:t>commerce</w:t>
      </w:r>
      <w:proofErr w:type="spellEnd"/>
      <w:r w:rsidRPr="00F53F79">
        <w:rPr>
          <w:rFonts w:ascii="Arial" w:eastAsia="Aptos" w:hAnsi="Arial" w:cs="Arial"/>
          <w:kern w:val="2"/>
          <w14:ligatures w14:val="standardContextual"/>
        </w:rPr>
        <w:t xml:space="preserve">): plataformas digitales y </w:t>
      </w:r>
      <w:proofErr w:type="spellStart"/>
      <w:r w:rsidRPr="00F53F79">
        <w:rPr>
          <w:rFonts w:ascii="Arial" w:eastAsia="Aptos" w:hAnsi="Arial" w:cs="Arial"/>
          <w:kern w:val="2"/>
          <w14:ligatures w14:val="standardContextual"/>
        </w:rPr>
        <w:t>marketplaces</w:t>
      </w:r>
      <w:proofErr w:type="spellEnd"/>
    </w:p>
    <w:p w14:paraId="49D8C224" w14:textId="488475D3"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Usuario final</w:t>
      </w:r>
    </w:p>
    <w:p w14:paraId="64C8540D" w14:textId="77777777" w:rsid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Está conformado por entidades públicas, empresas privadas y consumidores finales (hogares), quienes demandan estos bienes para el desarrollo de sus actividades.</w:t>
      </w:r>
    </w:p>
    <w:p w14:paraId="4FFF89A8" w14:textId="77777777" w:rsidR="00B00F57" w:rsidRPr="00F53F79" w:rsidRDefault="00B00F57" w:rsidP="00F53F79">
      <w:pPr>
        <w:spacing w:before="240" w:line="278" w:lineRule="auto"/>
        <w:jc w:val="both"/>
        <w:rPr>
          <w:rFonts w:ascii="Arial" w:eastAsia="Aptos" w:hAnsi="Arial" w:cs="Arial"/>
          <w:kern w:val="2"/>
          <w14:ligatures w14:val="standardContextual"/>
        </w:rPr>
      </w:pPr>
    </w:p>
    <w:p w14:paraId="59936262" w14:textId="2FCD92BE" w:rsidR="00F53F79" w:rsidRPr="00F53F79" w:rsidRDefault="00F53F79" w:rsidP="00F53F79">
      <w:pPr>
        <w:pStyle w:val="Prrafodelista"/>
        <w:numPr>
          <w:ilvl w:val="0"/>
          <w:numId w:val="27"/>
        </w:numPr>
        <w:spacing w:before="240" w:line="278" w:lineRule="auto"/>
        <w:jc w:val="both"/>
        <w:rPr>
          <w:rFonts w:ascii="Arial" w:eastAsia="Aptos" w:hAnsi="Arial" w:cs="Arial"/>
          <w:b/>
          <w:bCs/>
          <w:kern w:val="2"/>
          <w14:ligatures w14:val="standardContextual"/>
        </w:rPr>
      </w:pPr>
      <w:r w:rsidRPr="00F53F79">
        <w:rPr>
          <w:rFonts w:ascii="Arial" w:eastAsia="Aptos" w:hAnsi="Arial" w:cs="Arial"/>
          <w:b/>
          <w:bCs/>
          <w:kern w:val="2"/>
          <w14:ligatures w14:val="standardContextual"/>
        </w:rPr>
        <w:lastRenderedPageBreak/>
        <w:t>Tipo de mercado</w:t>
      </w:r>
    </w:p>
    <w:p w14:paraId="4D442F30"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El mercado de hardware en Colombia se clasifica como un mercado de competencia monopolística, caracterizado por:</w:t>
      </w:r>
    </w:p>
    <w:p w14:paraId="7CA7E230" w14:textId="77777777" w:rsidR="00F53F79" w:rsidRPr="00F53F79" w:rsidRDefault="00F53F79" w:rsidP="00F53F79">
      <w:pPr>
        <w:pStyle w:val="Prrafodelista"/>
        <w:numPr>
          <w:ilvl w:val="0"/>
          <w:numId w:val="27"/>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Existencia de múltiples oferentes</w:t>
      </w:r>
    </w:p>
    <w:p w14:paraId="4F9D3B4E" w14:textId="77777777" w:rsidR="00F53F79" w:rsidRPr="00F53F79" w:rsidRDefault="00F53F79" w:rsidP="00F53F79">
      <w:pPr>
        <w:pStyle w:val="Prrafodelista"/>
        <w:numPr>
          <w:ilvl w:val="0"/>
          <w:numId w:val="27"/>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Diferenciación de productos por marca, calidad y especificaciones técnicas</w:t>
      </w:r>
    </w:p>
    <w:p w14:paraId="5DF90084" w14:textId="77777777" w:rsidR="00F53F79" w:rsidRDefault="00F53F79" w:rsidP="00F53F79">
      <w:pPr>
        <w:pStyle w:val="Prrafodelista"/>
        <w:numPr>
          <w:ilvl w:val="0"/>
          <w:numId w:val="27"/>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Competencia basada en precio, servicio y valor agregado</w:t>
      </w:r>
    </w:p>
    <w:p w14:paraId="4F177376" w14:textId="77777777" w:rsidR="00F53F79" w:rsidRDefault="00F53F79" w:rsidP="00F53F79">
      <w:pPr>
        <w:pStyle w:val="Prrafodelista"/>
        <w:spacing w:before="240" w:line="278" w:lineRule="auto"/>
        <w:jc w:val="both"/>
        <w:rPr>
          <w:rFonts w:ascii="Arial" w:eastAsia="Aptos" w:hAnsi="Arial" w:cs="Arial"/>
          <w:kern w:val="2"/>
          <w14:ligatures w14:val="standardContextual"/>
        </w:rPr>
      </w:pPr>
    </w:p>
    <w:p w14:paraId="3495B859" w14:textId="47204CFC" w:rsidR="00F53F79" w:rsidRPr="00F53F79" w:rsidRDefault="00F53F79" w:rsidP="00F53F79">
      <w:pPr>
        <w:pStyle w:val="Prrafodelista"/>
        <w:numPr>
          <w:ilvl w:val="0"/>
          <w:numId w:val="27"/>
        </w:numPr>
        <w:spacing w:before="240" w:line="278" w:lineRule="auto"/>
        <w:jc w:val="both"/>
        <w:rPr>
          <w:rFonts w:ascii="Arial" w:eastAsia="Aptos" w:hAnsi="Arial" w:cs="Arial"/>
          <w:b/>
          <w:bCs/>
          <w:kern w:val="2"/>
          <w14:ligatures w14:val="standardContextual"/>
        </w:rPr>
      </w:pPr>
      <w:r w:rsidRPr="00F53F79">
        <w:rPr>
          <w:rFonts w:ascii="Arial" w:eastAsia="Aptos" w:hAnsi="Arial" w:cs="Arial"/>
          <w:b/>
          <w:bCs/>
          <w:kern w:val="2"/>
          <w14:ligatures w14:val="standardContextual"/>
        </w:rPr>
        <w:t>Características económicas del mercado</w:t>
      </w:r>
    </w:p>
    <w:p w14:paraId="6E02F559"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El sector presenta las siguientes características:</w:t>
      </w:r>
    </w:p>
    <w:p w14:paraId="34990C50" w14:textId="77777777" w:rsidR="00F53F79" w:rsidRPr="00F53F79" w:rsidRDefault="00F53F79" w:rsidP="00F53F79">
      <w:pPr>
        <w:pStyle w:val="Prrafodelista"/>
        <w:numPr>
          <w:ilvl w:val="0"/>
          <w:numId w:val="28"/>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Alta dependencia de importaciones</w:t>
      </w:r>
    </w:p>
    <w:p w14:paraId="6E7A306E" w14:textId="77777777" w:rsidR="00F53F79" w:rsidRPr="00F53F79" w:rsidRDefault="00F53F79" w:rsidP="00F53F79">
      <w:pPr>
        <w:pStyle w:val="Prrafodelista"/>
        <w:numPr>
          <w:ilvl w:val="0"/>
          <w:numId w:val="28"/>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Sensibilidad a la tasa de cambio (TRM)</w:t>
      </w:r>
    </w:p>
    <w:p w14:paraId="60A0D4DC" w14:textId="77777777" w:rsidR="00F53F79" w:rsidRPr="00F53F79" w:rsidRDefault="00F53F79" w:rsidP="00F53F79">
      <w:pPr>
        <w:pStyle w:val="Prrafodelista"/>
        <w:numPr>
          <w:ilvl w:val="0"/>
          <w:numId w:val="28"/>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Rápida obsolescencia tecnológica (ciclos de renovación de 3 a 5 años)</w:t>
      </w:r>
    </w:p>
    <w:p w14:paraId="1512E127" w14:textId="77777777" w:rsidR="00F53F79" w:rsidRPr="00F53F79" w:rsidRDefault="00F53F79" w:rsidP="00F53F79">
      <w:pPr>
        <w:pStyle w:val="Prrafodelista"/>
        <w:numPr>
          <w:ilvl w:val="0"/>
          <w:numId w:val="28"/>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Economías de escala en procesos de compra institucional</w:t>
      </w:r>
    </w:p>
    <w:p w14:paraId="105457DB" w14:textId="77777777" w:rsidR="00F53F79" w:rsidRDefault="00F53F79" w:rsidP="00F53F79">
      <w:pPr>
        <w:pStyle w:val="Prrafodelista"/>
        <w:numPr>
          <w:ilvl w:val="0"/>
          <w:numId w:val="28"/>
        </w:numPr>
        <w:spacing w:before="240" w:line="278" w:lineRule="auto"/>
        <w:ind w:hanging="11"/>
        <w:jc w:val="both"/>
        <w:rPr>
          <w:rFonts w:ascii="Arial" w:eastAsia="Aptos" w:hAnsi="Arial" w:cs="Arial"/>
          <w:kern w:val="2"/>
          <w14:ligatures w14:val="standardContextual"/>
        </w:rPr>
      </w:pPr>
      <w:r w:rsidRPr="00F53F79">
        <w:rPr>
          <w:rFonts w:ascii="Arial" w:eastAsia="Aptos" w:hAnsi="Arial" w:cs="Arial"/>
          <w:kern w:val="2"/>
          <w14:ligatures w14:val="standardContextual"/>
        </w:rPr>
        <w:t>Amplia disponibilidad de oferta en el mercado</w:t>
      </w:r>
    </w:p>
    <w:p w14:paraId="65F0DE8C" w14:textId="77777777" w:rsidR="00F53F79" w:rsidRPr="00F53F79" w:rsidRDefault="00F53F79" w:rsidP="00F53F79">
      <w:pPr>
        <w:pStyle w:val="Prrafodelista"/>
        <w:spacing w:before="240" w:line="278" w:lineRule="auto"/>
        <w:jc w:val="both"/>
        <w:rPr>
          <w:rFonts w:ascii="Arial" w:eastAsia="Aptos" w:hAnsi="Arial" w:cs="Arial"/>
          <w:kern w:val="2"/>
          <w14:ligatures w14:val="standardContextual"/>
        </w:rPr>
      </w:pPr>
    </w:p>
    <w:p w14:paraId="0EBB395D" w14:textId="292A3037" w:rsidR="00F53F79" w:rsidRPr="00F53F79" w:rsidRDefault="00F53F79" w:rsidP="00F53F79">
      <w:pPr>
        <w:pStyle w:val="Prrafodelista"/>
        <w:numPr>
          <w:ilvl w:val="0"/>
          <w:numId w:val="28"/>
        </w:numPr>
        <w:spacing w:before="240" w:line="278" w:lineRule="auto"/>
        <w:jc w:val="both"/>
        <w:rPr>
          <w:rFonts w:ascii="Arial" w:eastAsia="Aptos" w:hAnsi="Arial" w:cs="Arial"/>
          <w:b/>
          <w:bCs/>
          <w:kern w:val="2"/>
          <w14:ligatures w14:val="standardContextual"/>
        </w:rPr>
      </w:pPr>
      <w:r w:rsidRPr="00F53F79">
        <w:rPr>
          <w:rFonts w:ascii="Arial" w:eastAsia="Aptos" w:hAnsi="Arial" w:cs="Arial"/>
          <w:b/>
          <w:bCs/>
          <w:kern w:val="2"/>
          <w14:ligatures w14:val="standardContextual"/>
        </w:rPr>
        <w:t>Barreras de entrada</w:t>
      </w:r>
    </w:p>
    <w:p w14:paraId="3F945F3B" w14:textId="6EBD10D2"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En comercialización</w:t>
      </w:r>
    </w:p>
    <w:p w14:paraId="7F08C84F"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Las barreras de entrada son relativamente bajas, permitiendo la participación de múltiples distribuidores y comercializadores.</w:t>
      </w:r>
    </w:p>
    <w:p w14:paraId="12418FCB" w14:textId="493C0202"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En fabricación</w:t>
      </w:r>
    </w:p>
    <w:p w14:paraId="4CA54F0B"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Las barreras son altas, debido a:</w:t>
      </w:r>
    </w:p>
    <w:p w14:paraId="417D0100" w14:textId="77777777" w:rsidR="00F53F79" w:rsidRPr="00F53F79" w:rsidRDefault="00F53F79" w:rsidP="00F53F79">
      <w:pPr>
        <w:pStyle w:val="Prrafodelista"/>
        <w:numPr>
          <w:ilvl w:val="0"/>
          <w:numId w:val="29"/>
        </w:numPr>
        <w:spacing w:before="240" w:line="278" w:lineRule="auto"/>
        <w:ind w:firstLine="131"/>
        <w:jc w:val="both"/>
        <w:rPr>
          <w:rFonts w:ascii="Arial" w:eastAsia="Aptos" w:hAnsi="Arial" w:cs="Arial"/>
          <w:kern w:val="2"/>
          <w14:ligatures w14:val="standardContextual"/>
        </w:rPr>
      </w:pPr>
      <w:r w:rsidRPr="00F53F79">
        <w:rPr>
          <w:rFonts w:ascii="Arial" w:eastAsia="Aptos" w:hAnsi="Arial" w:cs="Arial"/>
          <w:kern w:val="2"/>
          <w14:ligatures w14:val="standardContextual"/>
        </w:rPr>
        <w:t>Altos costos de inversión tecnológica</w:t>
      </w:r>
    </w:p>
    <w:p w14:paraId="739C2A8C" w14:textId="77777777" w:rsidR="00F53F79" w:rsidRPr="00F53F79" w:rsidRDefault="00F53F79" w:rsidP="00F53F79">
      <w:pPr>
        <w:pStyle w:val="Prrafodelista"/>
        <w:numPr>
          <w:ilvl w:val="0"/>
          <w:numId w:val="29"/>
        </w:numPr>
        <w:spacing w:before="240" w:line="278" w:lineRule="auto"/>
        <w:ind w:firstLine="131"/>
        <w:jc w:val="both"/>
        <w:rPr>
          <w:rFonts w:ascii="Arial" w:eastAsia="Aptos" w:hAnsi="Arial" w:cs="Arial"/>
          <w:kern w:val="2"/>
          <w14:ligatures w14:val="standardContextual"/>
        </w:rPr>
      </w:pPr>
      <w:r w:rsidRPr="00F53F79">
        <w:rPr>
          <w:rFonts w:ascii="Arial" w:eastAsia="Aptos" w:hAnsi="Arial" w:cs="Arial"/>
          <w:kern w:val="2"/>
          <w14:ligatures w14:val="standardContextual"/>
        </w:rPr>
        <w:t>Necesidad de infraestructura especializada</w:t>
      </w:r>
    </w:p>
    <w:p w14:paraId="6C5B7F5E" w14:textId="3499C1D7" w:rsidR="00F53F79" w:rsidRPr="00F53F79" w:rsidRDefault="00F53F79" w:rsidP="00F01C20">
      <w:pPr>
        <w:pStyle w:val="Prrafodelista"/>
        <w:numPr>
          <w:ilvl w:val="0"/>
          <w:numId w:val="29"/>
        </w:numPr>
        <w:spacing w:before="240" w:line="278" w:lineRule="auto"/>
        <w:ind w:firstLine="131"/>
        <w:jc w:val="both"/>
        <w:rPr>
          <w:rFonts w:ascii="Arial" w:eastAsia="Aptos" w:hAnsi="Arial" w:cs="Arial"/>
          <w:b/>
          <w:bCs/>
          <w:kern w:val="2"/>
          <w14:ligatures w14:val="standardContextual"/>
        </w:rPr>
      </w:pPr>
      <w:r w:rsidRPr="00F53F79">
        <w:rPr>
          <w:rFonts w:ascii="Arial" w:eastAsia="Aptos" w:hAnsi="Arial" w:cs="Arial"/>
          <w:kern w:val="2"/>
          <w14:ligatures w14:val="standardContextual"/>
        </w:rPr>
        <w:t>Dependencia de cadenas globales de suministro</w:t>
      </w:r>
    </w:p>
    <w:p w14:paraId="7A294D22" w14:textId="77777777" w:rsidR="00F53F79" w:rsidRPr="00F53F79" w:rsidRDefault="00F53F79" w:rsidP="00F53F79">
      <w:pPr>
        <w:pStyle w:val="Prrafodelista"/>
        <w:spacing w:before="240" w:line="278" w:lineRule="auto"/>
        <w:ind w:left="851"/>
        <w:jc w:val="both"/>
        <w:rPr>
          <w:rFonts w:ascii="Arial" w:eastAsia="Aptos" w:hAnsi="Arial" w:cs="Arial"/>
          <w:b/>
          <w:bCs/>
          <w:kern w:val="2"/>
          <w14:ligatures w14:val="standardContextual"/>
        </w:rPr>
      </w:pPr>
    </w:p>
    <w:p w14:paraId="684580C3" w14:textId="37705AE3" w:rsidR="00F53F79" w:rsidRPr="00F53F79" w:rsidRDefault="00F53F79" w:rsidP="00F53F79">
      <w:pPr>
        <w:pStyle w:val="Prrafodelista"/>
        <w:numPr>
          <w:ilvl w:val="0"/>
          <w:numId w:val="29"/>
        </w:numPr>
        <w:spacing w:before="240" w:line="278" w:lineRule="auto"/>
        <w:jc w:val="both"/>
        <w:rPr>
          <w:rFonts w:ascii="Arial" w:eastAsia="Aptos" w:hAnsi="Arial" w:cs="Arial"/>
          <w:b/>
          <w:bCs/>
          <w:kern w:val="2"/>
          <w14:ligatures w14:val="standardContextual"/>
        </w:rPr>
      </w:pPr>
      <w:r w:rsidRPr="00F53F79">
        <w:rPr>
          <w:rFonts w:ascii="Arial" w:eastAsia="Aptos" w:hAnsi="Arial" w:cs="Arial"/>
          <w:b/>
          <w:bCs/>
          <w:kern w:val="2"/>
          <w14:ligatures w14:val="standardContextual"/>
        </w:rPr>
        <w:t>Nivel de competencia</w:t>
      </w:r>
    </w:p>
    <w:p w14:paraId="68D0707D"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El mercado presenta un alto nivel de competencia, principalmente entre distribuidores y comercializadores, quienes compiten en función de:</w:t>
      </w:r>
    </w:p>
    <w:p w14:paraId="7D2373F7" w14:textId="77777777" w:rsidR="00F53F79" w:rsidRDefault="00F53F79" w:rsidP="00F53F79">
      <w:pPr>
        <w:spacing w:before="240" w:line="278" w:lineRule="auto"/>
        <w:jc w:val="both"/>
        <w:rPr>
          <w:rFonts w:ascii="Arial" w:eastAsia="Aptos" w:hAnsi="Arial" w:cs="Arial"/>
          <w:kern w:val="2"/>
          <w14:ligatures w14:val="standardContextual"/>
        </w:rPr>
      </w:pPr>
    </w:p>
    <w:p w14:paraId="220E6A0F" w14:textId="77777777" w:rsidR="00F53F79" w:rsidRDefault="00F53F79" w:rsidP="00F53F79">
      <w:pPr>
        <w:spacing w:before="240" w:line="278" w:lineRule="auto"/>
        <w:jc w:val="both"/>
        <w:rPr>
          <w:rFonts w:ascii="Arial" w:eastAsia="Aptos" w:hAnsi="Arial" w:cs="Arial"/>
          <w:kern w:val="2"/>
          <w14:ligatures w14:val="standardContextual"/>
        </w:rPr>
      </w:pPr>
    </w:p>
    <w:p w14:paraId="229B718D" w14:textId="77777777" w:rsidR="00F53F79" w:rsidRDefault="00F53F79" w:rsidP="00F53F79">
      <w:pPr>
        <w:spacing w:before="240" w:line="278" w:lineRule="auto"/>
        <w:jc w:val="both"/>
        <w:rPr>
          <w:rFonts w:ascii="Arial" w:eastAsia="Aptos" w:hAnsi="Arial" w:cs="Arial"/>
          <w:kern w:val="2"/>
          <w14:ligatures w14:val="standardContextual"/>
        </w:rPr>
      </w:pPr>
    </w:p>
    <w:p w14:paraId="1EF7C659" w14:textId="148D8D50" w:rsidR="00F53F79" w:rsidRPr="00980D18" w:rsidRDefault="00F53F79" w:rsidP="00980D18">
      <w:pPr>
        <w:pStyle w:val="Prrafodelista"/>
        <w:numPr>
          <w:ilvl w:val="0"/>
          <w:numId w:val="30"/>
        </w:numPr>
        <w:spacing w:before="240" w:line="278" w:lineRule="auto"/>
        <w:jc w:val="both"/>
        <w:rPr>
          <w:rFonts w:ascii="Arial" w:eastAsia="Aptos" w:hAnsi="Arial" w:cs="Arial"/>
          <w:b/>
          <w:bCs/>
          <w:kern w:val="2"/>
          <w14:ligatures w14:val="standardContextual"/>
        </w:rPr>
      </w:pPr>
      <w:r w:rsidRPr="00980D18">
        <w:rPr>
          <w:rFonts w:ascii="Arial" w:eastAsia="Aptos" w:hAnsi="Arial" w:cs="Arial"/>
          <w:b/>
          <w:bCs/>
          <w:kern w:val="2"/>
          <w14:ligatures w14:val="standardContextual"/>
        </w:rPr>
        <w:lastRenderedPageBreak/>
        <w:t>Regulación del sector</w:t>
      </w:r>
    </w:p>
    <w:p w14:paraId="489E52A6"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El mercado de hardware en Colombia se encuentra regulado por diversas disposiciones, entre ellas:</w:t>
      </w:r>
    </w:p>
    <w:p w14:paraId="241EE96E" w14:textId="77777777" w:rsidR="00F53F79" w:rsidRPr="00980D18" w:rsidRDefault="00F53F79" w:rsidP="00980D18">
      <w:pPr>
        <w:pStyle w:val="Prrafodelista"/>
        <w:numPr>
          <w:ilvl w:val="0"/>
          <w:numId w:val="30"/>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Normativa de comercio exterior</w:t>
      </w:r>
    </w:p>
    <w:p w14:paraId="50EDDBA1" w14:textId="77777777" w:rsidR="00F53F79" w:rsidRPr="00980D18" w:rsidRDefault="00F53F79" w:rsidP="00980D18">
      <w:pPr>
        <w:pStyle w:val="Prrafodelista"/>
        <w:numPr>
          <w:ilvl w:val="0"/>
          <w:numId w:val="30"/>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Regulaciones aduaneras</w:t>
      </w:r>
    </w:p>
    <w:p w14:paraId="500F91F2" w14:textId="77777777" w:rsidR="00F53F79" w:rsidRPr="00980D18" w:rsidRDefault="00F53F79" w:rsidP="00980D18">
      <w:pPr>
        <w:pStyle w:val="Prrafodelista"/>
        <w:numPr>
          <w:ilvl w:val="0"/>
          <w:numId w:val="30"/>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Requisitos técnicos y de certificación de productos</w:t>
      </w:r>
    </w:p>
    <w:p w14:paraId="005EBE52" w14:textId="77777777" w:rsidR="00F53F79" w:rsidRPr="00980D18" w:rsidRDefault="00F53F79" w:rsidP="00980D18">
      <w:pPr>
        <w:pStyle w:val="Prrafodelista"/>
        <w:numPr>
          <w:ilvl w:val="0"/>
          <w:numId w:val="30"/>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Normativa de contratación estatal aplicable a la adquisición de bienes</w:t>
      </w:r>
    </w:p>
    <w:p w14:paraId="25489190"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Las principales entidades que intervienen en su regulación son:</w:t>
      </w:r>
    </w:p>
    <w:p w14:paraId="17C7BD2F" w14:textId="77777777" w:rsidR="00F53F79" w:rsidRPr="00980D18" w:rsidRDefault="00F53F79" w:rsidP="00980D18">
      <w:pPr>
        <w:pStyle w:val="Prrafodelista"/>
        <w:numPr>
          <w:ilvl w:val="0"/>
          <w:numId w:val="31"/>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Dirección de Impuestos y Aduanas Nacionales (DIAN)</w:t>
      </w:r>
    </w:p>
    <w:p w14:paraId="64B16E4B" w14:textId="77777777" w:rsidR="00F53F79" w:rsidRPr="00980D18" w:rsidRDefault="00F53F79" w:rsidP="00980D18">
      <w:pPr>
        <w:pStyle w:val="Prrafodelista"/>
        <w:numPr>
          <w:ilvl w:val="0"/>
          <w:numId w:val="31"/>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Ministerio de Comercio Industria y Turismo</w:t>
      </w:r>
    </w:p>
    <w:p w14:paraId="05E11242" w14:textId="77777777" w:rsidR="00F53F79" w:rsidRDefault="00F53F79" w:rsidP="00980D18">
      <w:pPr>
        <w:pStyle w:val="Prrafodelista"/>
        <w:numPr>
          <w:ilvl w:val="0"/>
          <w:numId w:val="31"/>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Colombia Compra Eficiente</w:t>
      </w:r>
    </w:p>
    <w:p w14:paraId="00A7D03C" w14:textId="77777777" w:rsidR="00980D18" w:rsidRPr="00980D18" w:rsidRDefault="00980D18" w:rsidP="00980D18">
      <w:pPr>
        <w:pStyle w:val="Prrafodelista"/>
        <w:spacing w:before="240" w:line="278" w:lineRule="auto"/>
        <w:jc w:val="both"/>
        <w:rPr>
          <w:rFonts w:ascii="Arial" w:eastAsia="Aptos" w:hAnsi="Arial" w:cs="Arial"/>
          <w:kern w:val="2"/>
          <w14:ligatures w14:val="standardContextual"/>
        </w:rPr>
      </w:pPr>
    </w:p>
    <w:p w14:paraId="26862DBE" w14:textId="51111101" w:rsidR="00F53F79" w:rsidRPr="00980D18" w:rsidRDefault="00F53F79" w:rsidP="00980D18">
      <w:pPr>
        <w:pStyle w:val="Prrafodelista"/>
        <w:numPr>
          <w:ilvl w:val="0"/>
          <w:numId w:val="31"/>
        </w:numPr>
        <w:spacing w:before="240" w:line="278" w:lineRule="auto"/>
        <w:jc w:val="both"/>
        <w:rPr>
          <w:rFonts w:ascii="Arial" w:eastAsia="Aptos" w:hAnsi="Arial" w:cs="Arial"/>
          <w:b/>
          <w:bCs/>
          <w:kern w:val="2"/>
          <w14:ligatures w14:val="standardContextual"/>
        </w:rPr>
      </w:pPr>
      <w:r w:rsidRPr="00980D18">
        <w:rPr>
          <w:rFonts w:ascii="Arial" w:eastAsia="Aptos" w:hAnsi="Arial" w:cs="Arial"/>
          <w:b/>
          <w:bCs/>
          <w:kern w:val="2"/>
          <w14:ligatures w14:val="standardContextual"/>
        </w:rPr>
        <w:t>Tendencias del mercado</w:t>
      </w:r>
    </w:p>
    <w:p w14:paraId="7A7F4B04" w14:textId="77777777" w:rsidR="00F53F79" w:rsidRPr="00F53F79" w:rsidRDefault="00F53F79" w:rsidP="00F53F79">
      <w:pPr>
        <w:spacing w:before="240" w:line="278" w:lineRule="auto"/>
        <w:jc w:val="both"/>
        <w:rPr>
          <w:rFonts w:ascii="Arial" w:eastAsia="Aptos" w:hAnsi="Arial" w:cs="Arial"/>
          <w:kern w:val="2"/>
          <w14:ligatures w14:val="standardContextual"/>
        </w:rPr>
      </w:pPr>
      <w:r w:rsidRPr="00F53F79">
        <w:rPr>
          <w:rFonts w:ascii="Arial" w:eastAsia="Aptos" w:hAnsi="Arial" w:cs="Arial"/>
          <w:kern w:val="2"/>
          <w14:ligatures w14:val="standardContextual"/>
        </w:rPr>
        <w:t>Entre las principales tendencias del mercado se destacan:</w:t>
      </w:r>
    </w:p>
    <w:p w14:paraId="12D542EB" w14:textId="77777777" w:rsidR="00F53F79" w:rsidRPr="00980D18" w:rsidRDefault="00F53F79" w:rsidP="00980D18">
      <w:pPr>
        <w:pStyle w:val="Prrafodelista"/>
        <w:numPr>
          <w:ilvl w:val="0"/>
          <w:numId w:val="32"/>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Crecimiento del comercio electrónico como canal de venta</w:t>
      </w:r>
    </w:p>
    <w:p w14:paraId="1A74FA0E" w14:textId="77777777" w:rsidR="00F53F79" w:rsidRPr="00980D18" w:rsidRDefault="00F53F79" w:rsidP="00980D18">
      <w:pPr>
        <w:pStyle w:val="Prrafodelista"/>
        <w:numPr>
          <w:ilvl w:val="0"/>
          <w:numId w:val="32"/>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Mayor demanda de equipos portátiles frente a equipos de escritorio</w:t>
      </w:r>
    </w:p>
    <w:p w14:paraId="14A9B169" w14:textId="77777777" w:rsidR="00F53F79" w:rsidRPr="00980D18" w:rsidRDefault="00F53F79" w:rsidP="00980D18">
      <w:pPr>
        <w:pStyle w:val="Prrafodelista"/>
        <w:numPr>
          <w:ilvl w:val="0"/>
          <w:numId w:val="32"/>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Integración de soluciones tecnológicas (hardware + software + servicios)</w:t>
      </w:r>
    </w:p>
    <w:p w14:paraId="4D07BB75" w14:textId="77777777" w:rsidR="00F53F79" w:rsidRPr="00980D18" w:rsidRDefault="00F53F79" w:rsidP="00980D18">
      <w:pPr>
        <w:pStyle w:val="Prrafodelista"/>
        <w:numPr>
          <w:ilvl w:val="0"/>
          <w:numId w:val="32"/>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Incremento de la demanda institucional por procesos de digitalización</w:t>
      </w:r>
    </w:p>
    <w:p w14:paraId="3CAF6370" w14:textId="49C15EFC" w:rsidR="00F53F79" w:rsidRPr="00980D18" w:rsidRDefault="00F53F79" w:rsidP="00980D18">
      <w:pPr>
        <w:pStyle w:val="Prrafodelista"/>
        <w:numPr>
          <w:ilvl w:val="0"/>
          <w:numId w:val="32"/>
        </w:numPr>
        <w:spacing w:before="240" w:line="278" w:lineRule="auto"/>
        <w:ind w:hanging="11"/>
        <w:jc w:val="both"/>
        <w:rPr>
          <w:rFonts w:ascii="Arial" w:eastAsia="Aptos" w:hAnsi="Arial" w:cs="Arial"/>
          <w:kern w:val="2"/>
          <w14:ligatures w14:val="standardContextual"/>
        </w:rPr>
      </w:pPr>
      <w:r w:rsidRPr="00980D18">
        <w:rPr>
          <w:rFonts w:ascii="Arial" w:eastAsia="Aptos" w:hAnsi="Arial" w:cs="Arial"/>
          <w:kern w:val="2"/>
          <w14:ligatures w14:val="standardContextual"/>
        </w:rPr>
        <w:t xml:space="preserve">Incorporación de nuevas tecnologías como inteligencia artificial y computación en </w:t>
      </w:r>
      <w:r w:rsidR="00980D18">
        <w:rPr>
          <w:rFonts w:ascii="Arial" w:eastAsia="Aptos" w:hAnsi="Arial" w:cs="Arial"/>
          <w:kern w:val="2"/>
          <w14:ligatures w14:val="standardContextual"/>
        </w:rPr>
        <w:tab/>
      </w:r>
      <w:r w:rsidRPr="00980D18">
        <w:rPr>
          <w:rFonts w:ascii="Arial" w:eastAsia="Aptos" w:hAnsi="Arial" w:cs="Arial"/>
          <w:kern w:val="2"/>
          <w14:ligatures w14:val="standardContextual"/>
        </w:rPr>
        <w:t>la nube</w:t>
      </w:r>
    </w:p>
    <w:p w14:paraId="3C4F703C" w14:textId="73554E96" w:rsidR="00F53F79" w:rsidRPr="00F53F79" w:rsidRDefault="00980D18" w:rsidP="00F53F79">
      <w:pPr>
        <w:spacing w:before="240" w:line="278" w:lineRule="auto"/>
        <w:jc w:val="both"/>
        <w:rPr>
          <w:rFonts w:ascii="Arial" w:eastAsia="Aptos" w:hAnsi="Arial" w:cs="Arial"/>
          <w:kern w:val="2"/>
          <w14:ligatures w14:val="standardContextual"/>
        </w:rPr>
      </w:pPr>
      <w:r>
        <w:rPr>
          <w:rFonts w:ascii="Arial" w:eastAsia="Aptos" w:hAnsi="Arial" w:cs="Arial"/>
          <w:kern w:val="2"/>
          <w14:ligatures w14:val="standardContextual"/>
        </w:rPr>
        <w:t xml:space="preserve">En </w:t>
      </w:r>
      <w:r w:rsidR="00B00F57">
        <w:rPr>
          <w:rFonts w:ascii="Arial" w:eastAsia="Aptos" w:hAnsi="Arial" w:cs="Arial"/>
          <w:kern w:val="2"/>
          <w14:ligatures w14:val="standardContextual"/>
        </w:rPr>
        <w:t>c</w:t>
      </w:r>
      <w:r w:rsidR="00B00F57" w:rsidRPr="00F53F79">
        <w:rPr>
          <w:rFonts w:ascii="Arial" w:eastAsia="Aptos" w:hAnsi="Arial" w:cs="Arial"/>
          <w:kern w:val="2"/>
          <w14:ligatures w14:val="standardContextual"/>
        </w:rPr>
        <w:t>onclusión,</w:t>
      </w:r>
      <w:r>
        <w:rPr>
          <w:rFonts w:ascii="Arial" w:eastAsia="Aptos" w:hAnsi="Arial" w:cs="Arial"/>
          <w:kern w:val="2"/>
          <w14:ligatures w14:val="standardContextual"/>
        </w:rPr>
        <w:t xml:space="preserve"> e</w:t>
      </w:r>
      <w:r w:rsidR="00F53F79" w:rsidRPr="00F53F79">
        <w:rPr>
          <w:rFonts w:ascii="Arial" w:eastAsia="Aptos" w:hAnsi="Arial" w:cs="Arial"/>
          <w:kern w:val="2"/>
          <w14:ligatures w14:val="standardContextual"/>
        </w:rPr>
        <w:t>l mercado de hardware en Colombia presenta una estructura dinámica, competitiva y altamente dependiente del contexto internacional. Su funcionamiento se basa en la interacción de múltiples actores dentro de la cadena de valor, con una fuerte participación de fabricantes internacionales y distribuidores locales.</w:t>
      </w:r>
    </w:p>
    <w:p w14:paraId="4BF59B3E" w14:textId="3CFF6D10" w:rsidR="00F53F79" w:rsidRDefault="00F53F79" w:rsidP="00F53F79">
      <w:pPr>
        <w:spacing w:before="240" w:line="278" w:lineRule="auto"/>
        <w:jc w:val="both"/>
        <w:rPr>
          <w:rFonts w:ascii="Arial" w:eastAsia="Aptos" w:hAnsi="Arial" w:cs="Arial"/>
          <w:kern w:val="2"/>
          <w:highlight w:val="yellow"/>
          <w14:ligatures w14:val="standardContextual"/>
        </w:rPr>
      </w:pPr>
      <w:r w:rsidRPr="00F53F79">
        <w:rPr>
          <w:rFonts w:ascii="Arial" w:eastAsia="Aptos" w:hAnsi="Arial" w:cs="Arial"/>
          <w:kern w:val="2"/>
          <w14:ligatures w14:val="standardContextual"/>
        </w:rPr>
        <w:t>Este sector resulta estratégico para el desarrollo económico y la transformación digital del país, lo que hace necesario estructurar procesos de adquisición adecuados, que garanticen calidad, eficiencia y cumplimiento de las necesidades institucionales.</w:t>
      </w:r>
    </w:p>
    <w:p w14:paraId="06E5191D" w14:textId="629DD82C" w:rsidR="00456594" w:rsidRPr="00376AE3" w:rsidRDefault="00F2378D" w:rsidP="00B00F57">
      <w:pPr>
        <w:pStyle w:val="Prrafodelista"/>
        <w:numPr>
          <w:ilvl w:val="0"/>
          <w:numId w:val="18"/>
        </w:numPr>
        <w:spacing w:after="0" w:line="240" w:lineRule="auto"/>
        <w:rPr>
          <w:rFonts w:ascii="Arial" w:eastAsiaTheme="minorHAnsi" w:hAnsi="Arial" w:cs="Arial"/>
          <w:b/>
        </w:rPr>
      </w:pPr>
      <w:bookmarkStart w:id="4" w:name="_Hlk163564543"/>
      <w:bookmarkEnd w:id="0"/>
      <w:r w:rsidRPr="00376AE3">
        <w:rPr>
          <w:rFonts w:ascii="Arial" w:hAnsi="Arial" w:cs="Arial"/>
          <w:b/>
        </w:rPr>
        <w:t>ANÁLISIS DE LA DEMANDA</w:t>
      </w:r>
    </w:p>
    <w:p w14:paraId="0EAA3E6D" w14:textId="77777777" w:rsidR="00A63F6B" w:rsidRPr="00376AE3" w:rsidRDefault="00A63F6B" w:rsidP="00A63F6B">
      <w:pPr>
        <w:pStyle w:val="Prrafodelista"/>
        <w:spacing w:after="0" w:line="240" w:lineRule="auto"/>
        <w:ind w:left="360"/>
        <w:rPr>
          <w:rFonts w:ascii="Arial" w:eastAsiaTheme="minorHAnsi" w:hAnsi="Arial" w:cs="Arial"/>
          <w:b/>
          <w:highlight w:val="yellow"/>
        </w:rPr>
      </w:pPr>
    </w:p>
    <w:p w14:paraId="376DA1B9" w14:textId="1F82C8B2" w:rsidR="00AA2E1D" w:rsidRPr="00376AE3" w:rsidRDefault="00E96D6D" w:rsidP="00AA2E1D">
      <w:pPr>
        <w:keepNext/>
        <w:keepLines/>
        <w:spacing w:after="0" w:line="278" w:lineRule="auto"/>
        <w:jc w:val="both"/>
        <w:outlineLvl w:val="0"/>
        <w:rPr>
          <w:rFonts w:ascii="Arial" w:eastAsia="Times New Roman" w:hAnsi="Arial" w:cs="Arial"/>
          <w:bCs/>
          <w:color w:val="000000"/>
          <w:kern w:val="2"/>
          <w14:ligatures w14:val="standardContextual"/>
        </w:rPr>
      </w:pPr>
      <w:bookmarkStart w:id="5" w:name="_Hlk163564632"/>
      <w:bookmarkEnd w:id="4"/>
      <w:r w:rsidRPr="00376AE3">
        <w:rPr>
          <w:rFonts w:ascii="Arial" w:eastAsia="Times New Roman" w:hAnsi="Arial" w:cs="Arial"/>
          <w:bCs/>
          <w:color w:val="000000"/>
          <w:kern w:val="2"/>
          <w14:ligatures w14:val="standardContextual"/>
        </w:rPr>
        <w:t>En cumplimiento de lo establecido en el decreto 1082 de 2015 se realizó el análisis necesario para conocer el sector relativo en este caso se revisó condiciones particulares de otros procesos de contratación similares, se acopio información a través del SECOP de procesos anteriores similares al objeto a contratar adelantado por otras entidades estatales y por el SENA así:</w:t>
      </w:r>
    </w:p>
    <w:p w14:paraId="56D6FDA4" w14:textId="77777777" w:rsidR="00AA2E1D" w:rsidRPr="00376AE3" w:rsidRDefault="00AA2E1D" w:rsidP="00AA2E1D">
      <w:pPr>
        <w:keepNext/>
        <w:keepLines/>
        <w:spacing w:after="0" w:line="278" w:lineRule="auto"/>
        <w:jc w:val="both"/>
        <w:outlineLvl w:val="0"/>
        <w:rPr>
          <w:rFonts w:ascii="Arial" w:eastAsia="Times New Roman" w:hAnsi="Arial" w:cs="Arial"/>
          <w:bCs/>
          <w:color w:val="000000"/>
          <w:kern w:val="2"/>
          <w14:ligatures w14:val="standardContextual"/>
        </w:rPr>
      </w:pPr>
    </w:p>
    <w:p w14:paraId="1E76AAAC" w14:textId="77777777" w:rsidR="00272C5F" w:rsidRDefault="00E96D6D" w:rsidP="00AA2E1D">
      <w:pPr>
        <w:spacing w:after="0" w:line="278" w:lineRule="auto"/>
        <w:jc w:val="both"/>
        <w:rPr>
          <w:rFonts w:ascii="Arial" w:eastAsia="Aptos" w:hAnsi="Arial" w:cs="Arial"/>
          <w:kern w:val="2"/>
          <w14:ligatures w14:val="standardContextual"/>
        </w:rPr>
      </w:pPr>
      <w:r w:rsidRPr="00376AE3">
        <w:rPr>
          <w:rFonts w:ascii="Arial" w:eastAsia="Aptos" w:hAnsi="Arial" w:cs="Arial"/>
          <w:kern w:val="2"/>
          <w14:ligatures w14:val="standardContextual"/>
        </w:rPr>
        <w:t xml:space="preserve">Para analizar el presente sector se tuvo en cuenta los procesos de contratación que </w:t>
      </w:r>
      <w:r w:rsidR="00272C5F">
        <w:rPr>
          <w:rFonts w:ascii="Arial" w:eastAsia="Aptos" w:hAnsi="Arial" w:cs="Arial"/>
          <w:kern w:val="2"/>
          <w14:ligatures w14:val="standardContextual"/>
        </w:rPr>
        <w:t>los Centros de Formación de</w:t>
      </w:r>
      <w:r w:rsidRPr="00376AE3">
        <w:rPr>
          <w:rFonts w:ascii="Arial" w:eastAsia="Aptos" w:hAnsi="Arial" w:cs="Arial"/>
          <w:kern w:val="2"/>
          <w14:ligatures w14:val="standardContextual"/>
        </w:rPr>
        <w:t>l SENA ha realizado en</w:t>
      </w:r>
      <w:r w:rsidR="00272C5F">
        <w:rPr>
          <w:rFonts w:ascii="Arial" w:eastAsia="Aptos" w:hAnsi="Arial" w:cs="Arial"/>
          <w:kern w:val="2"/>
          <w14:ligatures w14:val="standardContextual"/>
        </w:rPr>
        <w:t xml:space="preserve"> las</w:t>
      </w:r>
      <w:r w:rsidRPr="00376AE3">
        <w:rPr>
          <w:rFonts w:ascii="Arial" w:eastAsia="Aptos" w:hAnsi="Arial" w:cs="Arial"/>
          <w:kern w:val="2"/>
          <w14:ligatures w14:val="standardContextual"/>
        </w:rPr>
        <w:t xml:space="preserve"> vigencias</w:t>
      </w:r>
      <w:r w:rsidR="00272C5F">
        <w:rPr>
          <w:rFonts w:ascii="Arial" w:eastAsia="Aptos" w:hAnsi="Arial" w:cs="Arial"/>
          <w:kern w:val="2"/>
          <w14:ligatures w14:val="standardContextual"/>
        </w:rPr>
        <w:t xml:space="preserve"> 2024 y 2025</w:t>
      </w:r>
      <w:r w:rsidRPr="00376AE3">
        <w:rPr>
          <w:rFonts w:ascii="Arial" w:eastAsia="Aptos" w:hAnsi="Arial" w:cs="Arial"/>
          <w:kern w:val="2"/>
          <w14:ligatures w14:val="standardContextual"/>
        </w:rPr>
        <w:t>.</w:t>
      </w:r>
    </w:p>
    <w:p w14:paraId="0C16CF4D" w14:textId="77777777" w:rsidR="00272C5F" w:rsidRDefault="00272C5F" w:rsidP="00AA2E1D">
      <w:pPr>
        <w:spacing w:after="0" w:line="278" w:lineRule="auto"/>
        <w:jc w:val="both"/>
        <w:rPr>
          <w:rFonts w:ascii="Arial" w:eastAsia="Aptos" w:hAnsi="Arial" w:cs="Arial"/>
          <w:kern w:val="2"/>
          <w14:ligatures w14:val="standardContextual"/>
        </w:rPr>
      </w:pPr>
    </w:p>
    <w:tbl>
      <w:tblPr>
        <w:tblStyle w:val="Tablaconcuadrcula"/>
        <w:tblW w:w="0" w:type="auto"/>
        <w:tblLook w:val="04A0" w:firstRow="1" w:lastRow="0" w:firstColumn="1" w:lastColumn="0" w:noHBand="0" w:noVBand="1"/>
      </w:tblPr>
      <w:tblGrid>
        <w:gridCol w:w="1525"/>
        <w:gridCol w:w="1503"/>
        <w:gridCol w:w="2173"/>
        <w:gridCol w:w="1375"/>
        <w:gridCol w:w="1549"/>
        <w:gridCol w:w="1225"/>
      </w:tblGrid>
      <w:tr w:rsidR="00272C5F" w:rsidRPr="00272C5F" w14:paraId="57576FE8" w14:textId="77777777" w:rsidTr="00272C5F">
        <w:trPr>
          <w:trHeight w:val="480"/>
        </w:trPr>
        <w:tc>
          <w:tcPr>
            <w:tcW w:w="2320" w:type="dxa"/>
            <w:hideMark/>
          </w:tcPr>
          <w:p w14:paraId="66F9311D" w14:textId="77777777" w:rsidR="00272C5F" w:rsidRPr="00272C5F" w:rsidRDefault="00272C5F" w:rsidP="00272C5F">
            <w:pPr>
              <w:spacing w:after="0" w:line="278" w:lineRule="auto"/>
              <w:jc w:val="both"/>
              <w:rPr>
                <w:rFonts w:ascii="Arial" w:eastAsia="Aptos" w:hAnsi="Arial" w:cs="Arial"/>
                <w:b/>
                <w:bCs/>
                <w:kern w:val="2"/>
                <w:u w:val="single"/>
                <w14:ligatures w14:val="standardContextual"/>
              </w:rPr>
            </w:pPr>
            <w:r w:rsidRPr="00272C5F">
              <w:rPr>
                <w:rFonts w:ascii="Arial" w:eastAsia="Aptos" w:hAnsi="Arial" w:cs="Arial"/>
                <w:b/>
                <w:bCs/>
                <w:kern w:val="2"/>
                <w:u w:val="single"/>
                <w14:ligatures w14:val="standardContextual"/>
              </w:rPr>
              <w:t>Entidad Estatal</w:t>
            </w:r>
          </w:p>
        </w:tc>
        <w:tc>
          <w:tcPr>
            <w:tcW w:w="1200" w:type="dxa"/>
            <w:hideMark/>
          </w:tcPr>
          <w:p w14:paraId="00DE012D" w14:textId="77777777" w:rsidR="00272C5F" w:rsidRPr="00272C5F" w:rsidRDefault="00272C5F" w:rsidP="00272C5F">
            <w:pPr>
              <w:spacing w:after="0" w:line="278" w:lineRule="auto"/>
              <w:jc w:val="both"/>
              <w:rPr>
                <w:rFonts w:ascii="Arial" w:eastAsia="Aptos" w:hAnsi="Arial" w:cs="Arial"/>
                <w:b/>
                <w:bCs/>
                <w:kern w:val="2"/>
                <w:u w:val="single"/>
                <w14:ligatures w14:val="standardContextual"/>
              </w:rPr>
            </w:pPr>
            <w:r w:rsidRPr="00272C5F">
              <w:rPr>
                <w:rFonts w:ascii="Arial" w:eastAsia="Aptos" w:hAnsi="Arial" w:cs="Arial"/>
                <w:b/>
                <w:bCs/>
                <w:kern w:val="2"/>
                <w:u w:val="single"/>
                <w14:ligatures w14:val="standardContextual"/>
              </w:rPr>
              <w:t>Referencia</w:t>
            </w:r>
          </w:p>
        </w:tc>
        <w:tc>
          <w:tcPr>
            <w:tcW w:w="5280" w:type="dxa"/>
            <w:hideMark/>
          </w:tcPr>
          <w:p w14:paraId="5FDFD471" w14:textId="77777777" w:rsidR="00272C5F" w:rsidRPr="00272C5F" w:rsidRDefault="00272C5F" w:rsidP="00272C5F">
            <w:pPr>
              <w:spacing w:after="0" w:line="278" w:lineRule="auto"/>
              <w:jc w:val="both"/>
              <w:rPr>
                <w:rFonts w:ascii="Arial" w:eastAsia="Aptos" w:hAnsi="Arial" w:cs="Arial"/>
                <w:b/>
                <w:bCs/>
                <w:kern w:val="2"/>
                <w:u w:val="single"/>
                <w14:ligatures w14:val="standardContextual"/>
              </w:rPr>
            </w:pPr>
            <w:r w:rsidRPr="00272C5F">
              <w:rPr>
                <w:rFonts w:ascii="Arial" w:eastAsia="Aptos" w:hAnsi="Arial" w:cs="Arial"/>
                <w:b/>
                <w:bCs/>
                <w:kern w:val="2"/>
                <w:u w:val="single"/>
                <w14:ligatures w14:val="standardContextual"/>
              </w:rPr>
              <w:t>Descripción</w:t>
            </w:r>
          </w:p>
        </w:tc>
        <w:tc>
          <w:tcPr>
            <w:tcW w:w="1560" w:type="dxa"/>
            <w:hideMark/>
          </w:tcPr>
          <w:p w14:paraId="28E5DCA1" w14:textId="77777777" w:rsidR="00272C5F" w:rsidRPr="00272C5F" w:rsidRDefault="00272C5F" w:rsidP="00272C5F">
            <w:pPr>
              <w:spacing w:after="0" w:line="278" w:lineRule="auto"/>
              <w:jc w:val="both"/>
              <w:rPr>
                <w:rFonts w:ascii="Arial" w:eastAsia="Aptos" w:hAnsi="Arial" w:cs="Arial"/>
                <w:b/>
                <w:bCs/>
                <w:kern w:val="2"/>
                <w:u w:val="single"/>
                <w14:ligatures w14:val="standardContextual"/>
              </w:rPr>
            </w:pPr>
            <w:r w:rsidRPr="00272C5F">
              <w:rPr>
                <w:rFonts w:ascii="Arial" w:eastAsia="Aptos" w:hAnsi="Arial" w:cs="Arial"/>
                <w:b/>
                <w:bCs/>
                <w:kern w:val="2"/>
                <w:u w:val="single"/>
                <w14:ligatures w14:val="standardContextual"/>
              </w:rPr>
              <w:t>Fecha de publicación</w:t>
            </w:r>
          </w:p>
        </w:tc>
        <w:tc>
          <w:tcPr>
            <w:tcW w:w="1200" w:type="dxa"/>
            <w:hideMark/>
          </w:tcPr>
          <w:p w14:paraId="154DC8CF" w14:textId="77777777" w:rsidR="00272C5F" w:rsidRPr="00272C5F" w:rsidRDefault="00272C5F" w:rsidP="00272C5F">
            <w:pPr>
              <w:spacing w:after="0" w:line="278" w:lineRule="auto"/>
              <w:jc w:val="both"/>
              <w:rPr>
                <w:rFonts w:ascii="Arial" w:eastAsia="Aptos" w:hAnsi="Arial" w:cs="Arial"/>
                <w:b/>
                <w:bCs/>
                <w:kern w:val="2"/>
                <w14:ligatures w14:val="standardContextual"/>
              </w:rPr>
            </w:pPr>
            <w:r w:rsidRPr="00272C5F">
              <w:rPr>
                <w:rFonts w:ascii="Arial" w:eastAsia="Aptos" w:hAnsi="Arial" w:cs="Arial"/>
                <w:b/>
                <w:bCs/>
                <w:kern w:val="2"/>
                <w14:ligatures w14:val="standardContextual"/>
              </w:rPr>
              <w:t>Cuantía</w:t>
            </w:r>
          </w:p>
        </w:tc>
        <w:tc>
          <w:tcPr>
            <w:tcW w:w="1200" w:type="dxa"/>
            <w:hideMark/>
          </w:tcPr>
          <w:p w14:paraId="641D6924" w14:textId="77777777" w:rsidR="00272C5F" w:rsidRPr="00272C5F" w:rsidRDefault="00272C5F" w:rsidP="00272C5F">
            <w:pPr>
              <w:spacing w:after="0" w:line="278" w:lineRule="auto"/>
              <w:jc w:val="both"/>
              <w:rPr>
                <w:rFonts w:ascii="Arial" w:eastAsia="Aptos" w:hAnsi="Arial" w:cs="Arial"/>
                <w:b/>
                <w:bCs/>
                <w:kern w:val="2"/>
                <w14:ligatures w14:val="standardContextual"/>
              </w:rPr>
            </w:pPr>
            <w:r w:rsidRPr="00272C5F">
              <w:rPr>
                <w:rFonts w:ascii="Arial" w:eastAsia="Aptos" w:hAnsi="Arial" w:cs="Arial"/>
                <w:b/>
                <w:bCs/>
                <w:kern w:val="2"/>
                <w14:ligatures w14:val="standardContextual"/>
              </w:rPr>
              <w:t>Estado</w:t>
            </w:r>
          </w:p>
        </w:tc>
      </w:tr>
      <w:tr w:rsidR="00272C5F" w:rsidRPr="00272C5F" w14:paraId="7E3CF860" w14:textId="77777777" w:rsidTr="00272C5F">
        <w:trPr>
          <w:trHeight w:val="1200"/>
        </w:trPr>
        <w:tc>
          <w:tcPr>
            <w:tcW w:w="2320" w:type="dxa"/>
            <w:hideMark/>
          </w:tcPr>
          <w:p w14:paraId="506CEB5A"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SENA REGIONAL CAUCA Grupo Administrativo Intercentros CTPI</w:t>
            </w:r>
          </w:p>
        </w:tc>
        <w:tc>
          <w:tcPr>
            <w:tcW w:w="1200" w:type="dxa"/>
            <w:hideMark/>
          </w:tcPr>
          <w:p w14:paraId="7D8DADE3"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SASI-CUC-CTPI-007-2025 (Presentación de oferta)</w:t>
            </w:r>
          </w:p>
        </w:tc>
        <w:tc>
          <w:tcPr>
            <w:tcW w:w="5280" w:type="dxa"/>
            <w:hideMark/>
          </w:tcPr>
          <w:p w14:paraId="3F54E7A2"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 xml:space="preserve">922110-0361 - Adquirir a título de compraventa equipos de sistemas para la implementación del proyecto MGA_2025_51_6 que permita el fortalecimiento del entorno tecnológico del Centro de </w:t>
            </w:r>
            <w:proofErr w:type="spellStart"/>
            <w:r w:rsidRPr="00272C5F">
              <w:rPr>
                <w:rFonts w:ascii="Arial" w:eastAsia="Aptos" w:hAnsi="Arial" w:cs="Arial"/>
                <w:kern w:val="2"/>
                <w14:ligatures w14:val="standardContextual"/>
              </w:rPr>
              <w:t>Teleinformátic</w:t>
            </w:r>
            <w:proofErr w:type="spellEnd"/>
          </w:p>
        </w:tc>
        <w:tc>
          <w:tcPr>
            <w:tcW w:w="1560" w:type="dxa"/>
            <w:hideMark/>
          </w:tcPr>
          <w:p w14:paraId="3747099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3/12/2025 12:43 PM </w:t>
            </w:r>
            <w:r w:rsidRPr="00272C5F">
              <w:rPr>
                <w:rFonts w:ascii="Arial" w:eastAsia="Aptos" w:hAnsi="Arial" w:cs="Arial"/>
                <w:i/>
                <w:iCs/>
                <w:kern w:val="2"/>
                <w14:ligatures w14:val="standardContextual"/>
              </w:rPr>
              <w:t>(UTC -5 horas)</w:t>
            </w:r>
          </w:p>
        </w:tc>
        <w:tc>
          <w:tcPr>
            <w:tcW w:w="1200" w:type="dxa"/>
            <w:hideMark/>
          </w:tcPr>
          <w:p w14:paraId="3B47DA9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498.404.487 COP</w:t>
            </w:r>
          </w:p>
        </w:tc>
        <w:tc>
          <w:tcPr>
            <w:tcW w:w="1200" w:type="dxa"/>
            <w:hideMark/>
          </w:tcPr>
          <w:p w14:paraId="4E99D2E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5E070A0F" w14:textId="77777777" w:rsidTr="00272C5F">
        <w:trPr>
          <w:trHeight w:val="1200"/>
        </w:trPr>
        <w:tc>
          <w:tcPr>
            <w:tcW w:w="2320" w:type="dxa"/>
            <w:hideMark/>
          </w:tcPr>
          <w:p w14:paraId="041182E0"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SENA REGIONAL ATLANTICO Intercentros</w:t>
            </w:r>
          </w:p>
        </w:tc>
        <w:tc>
          <w:tcPr>
            <w:tcW w:w="1200" w:type="dxa"/>
            <w:hideMark/>
          </w:tcPr>
          <w:p w14:paraId="2ED67290"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MC-ATL-CNCA-0081-2025</w:t>
            </w:r>
          </w:p>
        </w:tc>
        <w:tc>
          <w:tcPr>
            <w:tcW w:w="5280" w:type="dxa"/>
            <w:hideMark/>
          </w:tcPr>
          <w:p w14:paraId="73F5D813"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CONTRATAR LA ADQUISICION DE EQUIPOS DE SISTEMAS PARA EL DESARROLLO DEL PLAN DE ACCIÓN DE TECNOPARQUE NODO ATLÁNTICO Y LOS PROYECTOS DE INVESTIGACIÓN APLICADA DE LA VIGENCIA 2025</w:t>
            </w:r>
          </w:p>
        </w:tc>
        <w:tc>
          <w:tcPr>
            <w:tcW w:w="1560" w:type="dxa"/>
            <w:hideMark/>
          </w:tcPr>
          <w:p w14:paraId="396F41F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29/10/2025 12:32 PM </w:t>
            </w:r>
            <w:r w:rsidRPr="00272C5F">
              <w:rPr>
                <w:rFonts w:ascii="Arial" w:eastAsia="Aptos" w:hAnsi="Arial" w:cs="Arial"/>
                <w:i/>
                <w:iCs/>
                <w:kern w:val="2"/>
                <w14:ligatures w14:val="standardContextual"/>
              </w:rPr>
              <w:t>(UTC -5 horas)</w:t>
            </w:r>
          </w:p>
        </w:tc>
        <w:tc>
          <w:tcPr>
            <w:tcW w:w="1200" w:type="dxa"/>
            <w:hideMark/>
          </w:tcPr>
          <w:p w14:paraId="7C42A4AD"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102.848.714 COP</w:t>
            </w:r>
          </w:p>
        </w:tc>
        <w:tc>
          <w:tcPr>
            <w:tcW w:w="1200" w:type="dxa"/>
            <w:hideMark/>
          </w:tcPr>
          <w:p w14:paraId="23B47C0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3FA7C126" w14:textId="77777777" w:rsidTr="00272C5F">
        <w:trPr>
          <w:trHeight w:val="1200"/>
        </w:trPr>
        <w:tc>
          <w:tcPr>
            <w:tcW w:w="2320" w:type="dxa"/>
            <w:hideMark/>
          </w:tcPr>
          <w:p w14:paraId="4F19C26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SENA REGIONAL ANTIOQUIA Grupo Administrativo CIAA</w:t>
            </w:r>
          </w:p>
        </w:tc>
        <w:tc>
          <w:tcPr>
            <w:tcW w:w="1200" w:type="dxa"/>
            <w:hideMark/>
          </w:tcPr>
          <w:p w14:paraId="2A43EB45"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MC -ANT-CIAA-00230-2025</w:t>
            </w:r>
          </w:p>
        </w:tc>
        <w:tc>
          <w:tcPr>
            <w:tcW w:w="5280" w:type="dxa"/>
            <w:hideMark/>
          </w:tcPr>
          <w:p w14:paraId="0AA5879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 xml:space="preserve">5_9503_646 ADQUISICIÓN DE EQUIPOS DE SISTEMAS REQUERIDOS PARA EL FORTALECIMIENTO DE TECNOPARQUE NODO RIONEGRO, EQUIPO COMO </w:t>
            </w:r>
            <w:r w:rsidRPr="00272C5F">
              <w:rPr>
                <w:rFonts w:ascii="Arial" w:eastAsia="Aptos" w:hAnsi="Arial" w:cs="Arial"/>
                <w:kern w:val="2"/>
                <w14:ligatures w14:val="standardContextual"/>
              </w:rPr>
              <w:lastRenderedPageBreak/>
              <w:t>CASCO, MICRÓFONO ENTRE OTRO.</w:t>
            </w:r>
          </w:p>
        </w:tc>
        <w:tc>
          <w:tcPr>
            <w:tcW w:w="1560" w:type="dxa"/>
            <w:hideMark/>
          </w:tcPr>
          <w:p w14:paraId="0B4F7750"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lastRenderedPageBreak/>
              <w:t>28/07/2025 2:49 PM </w:t>
            </w:r>
            <w:r w:rsidRPr="00272C5F">
              <w:rPr>
                <w:rFonts w:ascii="Arial" w:eastAsia="Aptos" w:hAnsi="Arial" w:cs="Arial"/>
                <w:i/>
                <w:iCs/>
                <w:kern w:val="2"/>
                <w14:ligatures w14:val="standardContextual"/>
              </w:rPr>
              <w:t>(UTC -5 horas)</w:t>
            </w:r>
          </w:p>
        </w:tc>
        <w:tc>
          <w:tcPr>
            <w:tcW w:w="1200" w:type="dxa"/>
            <w:hideMark/>
          </w:tcPr>
          <w:p w14:paraId="02A0E82C"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14.995.790 COP</w:t>
            </w:r>
          </w:p>
        </w:tc>
        <w:tc>
          <w:tcPr>
            <w:tcW w:w="1200" w:type="dxa"/>
            <w:hideMark/>
          </w:tcPr>
          <w:p w14:paraId="71F7849F"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4A4D853D" w14:textId="77777777" w:rsidTr="00272C5F">
        <w:trPr>
          <w:trHeight w:val="1200"/>
        </w:trPr>
        <w:tc>
          <w:tcPr>
            <w:tcW w:w="2320" w:type="dxa"/>
            <w:hideMark/>
          </w:tcPr>
          <w:p w14:paraId="21A9A340"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SENA Regional Huila Grupo de Apoyo Administrativo Mixto</w:t>
            </w:r>
          </w:p>
        </w:tc>
        <w:tc>
          <w:tcPr>
            <w:tcW w:w="1200" w:type="dxa"/>
            <w:hideMark/>
          </w:tcPr>
          <w:p w14:paraId="03E89CEE"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CD-HIL-CIES-018-2024</w:t>
            </w:r>
          </w:p>
        </w:tc>
        <w:tc>
          <w:tcPr>
            <w:tcW w:w="5280" w:type="dxa"/>
            <w:hideMark/>
          </w:tcPr>
          <w:p w14:paraId="0DD8FF4D"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Compra de Equipos de Sistemas - CIES</w:t>
            </w:r>
          </w:p>
        </w:tc>
        <w:tc>
          <w:tcPr>
            <w:tcW w:w="1560" w:type="dxa"/>
            <w:hideMark/>
          </w:tcPr>
          <w:p w14:paraId="58C6E039"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13/12/2024 9:03 PM </w:t>
            </w:r>
            <w:r w:rsidRPr="00272C5F">
              <w:rPr>
                <w:rFonts w:ascii="Arial" w:eastAsia="Aptos" w:hAnsi="Arial" w:cs="Arial"/>
                <w:i/>
                <w:iCs/>
                <w:kern w:val="2"/>
                <w14:ligatures w14:val="standardContextual"/>
              </w:rPr>
              <w:t>(UTC -5 horas)</w:t>
            </w:r>
          </w:p>
        </w:tc>
        <w:tc>
          <w:tcPr>
            <w:tcW w:w="1200" w:type="dxa"/>
            <w:hideMark/>
          </w:tcPr>
          <w:p w14:paraId="6094CDD6"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40.276.740 COP</w:t>
            </w:r>
          </w:p>
        </w:tc>
        <w:tc>
          <w:tcPr>
            <w:tcW w:w="1200" w:type="dxa"/>
            <w:hideMark/>
          </w:tcPr>
          <w:p w14:paraId="47A9707F"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4F61746B" w14:textId="77777777" w:rsidTr="00272C5F">
        <w:trPr>
          <w:trHeight w:val="1200"/>
        </w:trPr>
        <w:tc>
          <w:tcPr>
            <w:tcW w:w="2320" w:type="dxa"/>
            <w:hideMark/>
          </w:tcPr>
          <w:p w14:paraId="1AFD4B7B"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SENA REGIONAL CESAR Grupo de Apoyo Administrativo Mixto</w:t>
            </w:r>
          </w:p>
        </w:tc>
        <w:tc>
          <w:tcPr>
            <w:tcW w:w="1200" w:type="dxa"/>
            <w:hideMark/>
          </w:tcPr>
          <w:p w14:paraId="02456AC1"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MC-CSR-CIGEC-028-2024</w:t>
            </w:r>
          </w:p>
        </w:tc>
        <w:tc>
          <w:tcPr>
            <w:tcW w:w="5280" w:type="dxa"/>
            <w:hideMark/>
          </w:tcPr>
          <w:p w14:paraId="3C1D2303"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Compra de equipos de sistemas y periféricos- SENNOVA</w:t>
            </w:r>
          </w:p>
        </w:tc>
        <w:tc>
          <w:tcPr>
            <w:tcW w:w="1560" w:type="dxa"/>
            <w:hideMark/>
          </w:tcPr>
          <w:p w14:paraId="44D50D13"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2/12/2024 5:08 AM </w:t>
            </w:r>
            <w:r w:rsidRPr="00272C5F">
              <w:rPr>
                <w:rFonts w:ascii="Arial" w:eastAsia="Aptos" w:hAnsi="Arial" w:cs="Arial"/>
                <w:i/>
                <w:iCs/>
                <w:kern w:val="2"/>
                <w14:ligatures w14:val="standardContextual"/>
              </w:rPr>
              <w:t>(UTC -5 horas)</w:t>
            </w:r>
          </w:p>
        </w:tc>
        <w:tc>
          <w:tcPr>
            <w:tcW w:w="1200" w:type="dxa"/>
            <w:hideMark/>
          </w:tcPr>
          <w:p w14:paraId="3C635A5C"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87.946.830 COP</w:t>
            </w:r>
          </w:p>
        </w:tc>
        <w:tc>
          <w:tcPr>
            <w:tcW w:w="1200" w:type="dxa"/>
            <w:hideMark/>
          </w:tcPr>
          <w:p w14:paraId="4A8E47B3"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711B7227" w14:textId="77777777" w:rsidTr="00272C5F">
        <w:trPr>
          <w:trHeight w:val="1200"/>
        </w:trPr>
        <w:tc>
          <w:tcPr>
            <w:tcW w:w="2320" w:type="dxa"/>
            <w:hideMark/>
          </w:tcPr>
          <w:p w14:paraId="68BC1744"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SENA REGIONAL ANTIOQUIA Grupo Administrativo Intercentros Medellin</w:t>
            </w:r>
          </w:p>
        </w:tc>
        <w:tc>
          <w:tcPr>
            <w:tcW w:w="1200" w:type="dxa"/>
            <w:hideMark/>
          </w:tcPr>
          <w:p w14:paraId="12D58936"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MC-ANT-CDHC-05-9203-123-2024</w:t>
            </w:r>
          </w:p>
        </w:tc>
        <w:tc>
          <w:tcPr>
            <w:tcW w:w="5280" w:type="dxa"/>
            <w:hideMark/>
          </w:tcPr>
          <w:p w14:paraId="24FD999C"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 xml:space="preserve">5_9203_297 Contratar la compra de equipos de sistemas para el proyecto </w:t>
            </w:r>
            <w:proofErr w:type="spellStart"/>
            <w:r w:rsidRPr="00272C5F">
              <w:rPr>
                <w:rFonts w:ascii="Arial" w:eastAsia="Aptos" w:hAnsi="Arial" w:cs="Arial"/>
                <w:kern w:val="2"/>
                <w14:ligatures w14:val="standardContextual"/>
              </w:rPr>
              <w:t>TecnoAcademia</w:t>
            </w:r>
            <w:proofErr w:type="spellEnd"/>
            <w:r w:rsidRPr="00272C5F">
              <w:rPr>
                <w:rFonts w:ascii="Arial" w:eastAsia="Aptos" w:hAnsi="Arial" w:cs="Arial"/>
                <w:kern w:val="2"/>
                <w14:ligatures w14:val="standardContextual"/>
              </w:rPr>
              <w:t xml:space="preserve"> Medellín fija con extensión No. 70-SGPS-12243-2024</w:t>
            </w:r>
          </w:p>
        </w:tc>
        <w:tc>
          <w:tcPr>
            <w:tcW w:w="1560" w:type="dxa"/>
            <w:hideMark/>
          </w:tcPr>
          <w:p w14:paraId="2FFAC9F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28/10/2024 12:02 PM </w:t>
            </w:r>
            <w:r w:rsidRPr="00272C5F">
              <w:rPr>
                <w:rFonts w:ascii="Arial" w:eastAsia="Aptos" w:hAnsi="Arial" w:cs="Arial"/>
                <w:i/>
                <w:iCs/>
                <w:kern w:val="2"/>
                <w14:ligatures w14:val="standardContextual"/>
              </w:rPr>
              <w:t>(UTC -5 horas)</w:t>
            </w:r>
          </w:p>
        </w:tc>
        <w:tc>
          <w:tcPr>
            <w:tcW w:w="1200" w:type="dxa"/>
            <w:hideMark/>
          </w:tcPr>
          <w:p w14:paraId="4322EFD5"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39.590.033 COP</w:t>
            </w:r>
          </w:p>
        </w:tc>
        <w:tc>
          <w:tcPr>
            <w:tcW w:w="1200" w:type="dxa"/>
            <w:hideMark/>
          </w:tcPr>
          <w:p w14:paraId="2E5795D2"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6BD24904" w14:textId="77777777" w:rsidTr="00272C5F">
        <w:trPr>
          <w:trHeight w:val="1200"/>
        </w:trPr>
        <w:tc>
          <w:tcPr>
            <w:tcW w:w="2320" w:type="dxa"/>
            <w:hideMark/>
          </w:tcPr>
          <w:p w14:paraId="44F72C57"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CENTRO DE COMERCIO Y SERVICIOS - SENA REGIONAL CAUCA</w:t>
            </w:r>
          </w:p>
        </w:tc>
        <w:tc>
          <w:tcPr>
            <w:tcW w:w="1200" w:type="dxa"/>
            <w:hideMark/>
          </w:tcPr>
          <w:p w14:paraId="596CEE47"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SASI-CUC-004-2024 (Presentación de oferta)</w:t>
            </w:r>
          </w:p>
        </w:tc>
        <w:tc>
          <w:tcPr>
            <w:tcW w:w="5280" w:type="dxa"/>
            <w:hideMark/>
          </w:tcPr>
          <w:p w14:paraId="42FE107B"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CONTRATAR LA ADQUISICIÓN, INSTALACIÓN, INTEGRACIÓN Y CAPACITACIÓN DE LOS EQUIPOS DE SISTEMAS Y SOFTWARE NECESARIOS PARA EL PROYECTO SGPS 12214 2024 MODERNIZACIÓN TECNOLÓGICA DEL LABORATORIO TIC, PARA</w:t>
            </w:r>
          </w:p>
        </w:tc>
        <w:tc>
          <w:tcPr>
            <w:tcW w:w="1560" w:type="dxa"/>
            <w:hideMark/>
          </w:tcPr>
          <w:p w14:paraId="27CB0DBC"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22/10/2024 7:07 AM </w:t>
            </w:r>
            <w:r w:rsidRPr="00272C5F">
              <w:rPr>
                <w:rFonts w:ascii="Arial" w:eastAsia="Aptos" w:hAnsi="Arial" w:cs="Arial"/>
                <w:i/>
                <w:iCs/>
                <w:kern w:val="2"/>
                <w14:ligatures w14:val="standardContextual"/>
              </w:rPr>
              <w:t>(UTC -5 horas)</w:t>
            </w:r>
          </w:p>
        </w:tc>
        <w:tc>
          <w:tcPr>
            <w:tcW w:w="1200" w:type="dxa"/>
            <w:hideMark/>
          </w:tcPr>
          <w:p w14:paraId="33DAB0FA"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433.319.427 COP</w:t>
            </w:r>
          </w:p>
        </w:tc>
        <w:tc>
          <w:tcPr>
            <w:tcW w:w="1200" w:type="dxa"/>
            <w:hideMark/>
          </w:tcPr>
          <w:p w14:paraId="67C42BD4"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12EC9531" w14:textId="77777777" w:rsidTr="00272C5F">
        <w:trPr>
          <w:trHeight w:val="1200"/>
        </w:trPr>
        <w:tc>
          <w:tcPr>
            <w:tcW w:w="2320" w:type="dxa"/>
            <w:hideMark/>
          </w:tcPr>
          <w:p w14:paraId="7D4818F5"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lastRenderedPageBreak/>
              <w:t>SENA REGIONAL SANTANDER Grupo Administrativo CA</w:t>
            </w:r>
          </w:p>
        </w:tc>
        <w:tc>
          <w:tcPr>
            <w:tcW w:w="1200" w:type="dxa"/>
            <w:hideMark/>
          </w:tcPr>
          <w:p w14:paraId="51F26E9B"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MC-RS-CA-034-2024</w:t>
            </w:r>
          </w:p>
        </w:tc>
        <w:tc>
          <w:tcPr>
            <w:tcW w:w="5280" w:type="dxa"/>
            <w:hideMark/>
          </w:tcPr>
          <w:p w14:paraId="5C8A1709"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Equipos de Sistemas y Dispositivos Digitales Tecnoparque</w:t>
            </w:r>
          </w:p>
        </w:tc>
        <w:tc>
          <w:tcPr>
            <w:tcW w:w="1560" w:type="dxa"/>
            <w:hideMark/>
          </w:tcPr>
          <w:p w14:paraId="38A28F3C"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4/10/2024 4:20 PM </w:t>
            </w:r>
            <w:r w:rsidRPr="00272C5F">
              <w:rPr>
                <w:rFonts w:ascii="Arial" w:eastAsia="Aptos" w:hAnsi="Arial" w:cs="Arial"/>
                <w:i/>
                <w:iCs/>
                <w:kern w:val="2"/>
                <w14:ligatures w14:val="standardContextual"/>
              </w:rPr>
              <w:t>(UTC -5 horas)</w:t>
            </w:r>
          </w:p>
        </w:tc>
        <w:tc>
          <w:tcPr>
            <w:tcW w:w="1200" w:type="dxa"/>
            <w:hideMark/>
          </w:tcPr>
          <w:p w14:paraId="4F5DB7E7"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38.668.554 COP</w:t>
            </w:r>
          </w:p>
        </w:tc>
        <w:tc>
          <w:tcPr>
            <w:tcW w:w="1200" w:type="dxa"/>
            <w:hideMark/>
          </w:tcPr>
          <w:p w14:paraId="5965013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14D65F7E" w14:textId="77777777" w:rsidTr="00272C5F">
        <w:trPr>
          <w:trHeight w:val="1200"/>
        </w:trPr>
        <w:tc>
          <w:tcPr>
            <w:tcW w:w="2320" w:type="dxa"/>
            <w:hideMark/>
          </w:tcPr>
          <w:p w14:paraId="1924361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SENA REGIONAL META Grupo de Apoyo Administrativo Mixto</w:t>
            </w:r>
          </w:p>
        </w:tc>
        <w:tc>
          <w:tcPr>
            <w:tcW w:w="1200" w:type="dxa"/>
            <w:hideMark/>
          </w:tcPr>
          <w:p w14:paraId="1D3C0087"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MC-MTA-CISM-025-2024</w:t>
            </w:r>
          </w:p>
        </w:tc>
        <w:tc>
          <w:tcPr>
            <w:tcW w:w="5280" w:type="dxa"/>
            <w:hideMark/>
          </w:tcPr>
          <w:p w14:paraId="21ECEB4D"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COMPRA DE EQUIPOS DE SISTEMAS NECESARIOS PARA LA EJECUCION DE LAS ACTIVIDADES DE LOS PROYECTOS I+D+I SENNOVA DEL CENTRO DE INDUSTRIA Y SERVICIOS DEL META PROYECTO 12175.</w:t>
            </w:r>
          </w:p>
        </w:tc>
        <w:tc>
          <w:tcPr>
            <w:tcW w:w="1560" w:type="dxa"/>
            <w:hideMark/>
          </w:tcPr>
          <w:p w14:paraId="190B9B8D"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3/10/2024 9:24 AM </w:t>
            </w:r>
            <w:r w:rsidRPr="00272C5F">
              <w:rPr>
                <w:rFonts w:ascii="Arial" w:eastAsia="Aptos" w:hAnsi="Arial" w:cs="Arial"/>
                <w:i/>
                <w:iCs/>
                <w:kern w:val="2"/>
                <w14:ligatures w14:val="standardContextual"/>
              </w:rPr>
              <w:t>(UTC -5 horas)</w:t>
            </w:r>
          </w:p>
        </w:tc>
        <w:tc>
          <w:tcPr>
            <w:tcW w:w="1200" w:type="dxa"/>
            <w:hideMark/>
          </w:tcPr>
          <w:p w14:paraId="6D5B3B00"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32.122.500 COP</w:t>
            </w:r>
          </w:p>
        </w:tc>
        <w:tc>
          <w:tcPr>
            <w:tcW w:w="1200" w:type="dxa"/>
            <w:hideMark/>
          </w:tcPr>
          <w:p w14:paraId="5FF3537A"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3C77F739" w14:textId="77777777" w:rsidTr="00272C5F">
        <w:trPr>
          <w:trHeight w:val="1200"/>
        </w:trPr>
        <w:tc>
          <w:tcPr>
            <w:tcW w:w="2320" w:type="dxa"/>
            <w:hideMark/>
          </w:tcPr>
          <w:p w14:paraId="7F1A1506"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SENA REGIONAL QUINDIO Grupo de Apoyo Administrativo Mixto</w:t>
            </w:r>
          </w:p>
        </w:tc>
        <w:tc>
          <w:tcPr>
            <w:tcW w:w="1200" w:type="dxa"/>
            <w:hideMark/>
          </w:tcPr>
          <w:p w14:paraId="26A5867C"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MC-QDO-CA-0050-2024</w:t>
            </w:r>
          </w:p>
        </w:tc>
        <w:tc>
          <w:tcPr>
            <w:tcW w:w="5280" w:type="dxa"/>
            <w:hideMark/>
          </w:tcPr>
          <w:p w14:paraId="37250DE7"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Compra de equipos de sistemas para apoyar el desarrollo de proyectos de base tecnológica de los talentos del Tecnoparque Rural Quindío.</w:t>
            </w:r>
          </w:p>
        </w:tc>
        <w:tc>
          <w:tcPr>
            <w:tcW w:w="1560" w:type="dxa"/>
            <w:hideMark/>
          </w:tcPr>
          <w:p w14:paraId="23931C01"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4/06/2024 4:34 PM </w:t>
            </w:r>
            <w:r w:rsidRPr="00272C5F">
              <w:rPr>
                <w:rFonts w:ascii="Arial" w:eastAsia="Aptos" w:hAnsi="Arial" w:cs="Arial"/>
                <w:i/>
                <w:iCs/>
                <w:kern w:val="2"/>
                <w14:ligatures w14:val="standardContextual"/>
              </w:rPr>
              <w:t>(UTC -5 horas)</w:t>
            </w:r>
          </w:p>
        </w:tc>
        <w:tc>
          <w:tcPr>
            <w:tcW w:w="1200" w:type="dxa"/>
            <w:hideMark/>
          </w:tcPr>
          <w:p w14:paraId="5DA617F8"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105.273.031 COP</w:t>
            </w:r>
          </w:p>
        </w:tc>
        <w:tc>
          <w:tcPr>
            <w:tcW w:w="1200" w:type="dxa"/>
            <w:hideMark/>
          </w:tcPr>
          <w:p w14:paraId="47F27B7B"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r w:rsidR="00272C5F" w:rsidRPr="00272C5F" w14:paraId="50346B77" w14:textId="77777777" w:rsidTr="00272C5F">
        <w:trPr>
          <w:trHeight w:val="1200"/>
        </w:trPr>
        <w:tc>
          <w:tcPr>
            <w:tcW w:w="2320" w:type="dxa"/>
            <w:hideMark/>
          </w:tcPr>
          <w:p w14:paraId="615421DE"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SENA REGIONAL ATLANTICO</w:t>
            </w:r>
          </w:p>
        </w:tc>
        <w:tc>
          <w:tcPr>
            <w:tcW w:w="1200" w:type="dxa"/>
            <w:hideMark/>
          </w:tcPr>
          <w:p w14:paraId="73A42B85"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MC-ATL-CCS-020-2024</w:t>
            </w:r>
          </w:p>
        </w:tc>
        <w:tc>
          <w:tcPr>
            <w:tcW w:w="5280" w:type="dxa"/>
            <w:hideMark/>
          </w:tcPr>
          <w:p w14:paraId="7C268067"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EQUIPOS DE SISTEMAS</w:t>
            </w:r>
          </w:p>
        </w:tc>
        <w:tc>
          <w:tcPr>
            <w:tcW w:w="1560" w:type="dxa"/>
            <w:hideMark/>
          </w:tcPr>
          <w:p w14:paraId="6C18EF9E"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27/05/2024 5:53 PM </w:t>
            </w:r>
            <w:r w:rsidRPr="00272C5F">
              <w:rPr>
                <w:rFonts w:ascii="Arial" w:eastAsia="Aptos" w:hAnsi="Arial" w:cs="Arial"/>
                <w:i/>
                <w:iCs/>
                <w:kern w:val="2"/>
                <w14:ligatures w14:val="standardContextual"/>
              </w:rPr>
              <w:t>(UTC -5 horas)</w:t>
            </w:r>
          </w:p>
        </w:tc>
        <w:tc>
          <w:tcPr>
            <w:tcW w:w="1200" w:type="dxa"/>
            <w:hideMark/>
          </w:tcPr>
          <w:p w14:paraId="13AD7883"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74.384.008,06 COP</w:t>
            </w:r>
          </w:p>
        </w:tc>
        <w:tc>
          <w:tcPr>
            <w:tcW w:w="1200" w:type="dxa"/>
            <w:hideMark/>
          </w:tcPr>
          <w:p w14:paraId="00F4F3AA" w14:textId="77777777" w:rsidR="00272C5F" w:rsidRPr="00272C5F" w:rsidRDefault="00272C5F" w:rsidP="00272C5F">
            <w:pPr>
              <w:spacing w:after="0" w:line="278" w:lineRule="auto"/>
              <w:jc w:val="both"/>
              <w:rPr>
                <w:rFonts w:ascii="Arial" w:eastAsia="Aptos" w:hAnsi="Arial" w:cs="Arial"/>
                <w:kern w:val="2"/>
                <w14:ligatures w14:val="standardContextual"/>
              </w:rPr>
            </w:pPr>
            <w:r w:rsidRPr="00272C5F">
              <w:rPr>
                <w:rFonts w:ascii="Arial" w:eastAsia="Aptos" w:hAnsi="Arial" w:cs="Arial"/>
                <w:kern w:val="2"/>
                <w14:ligatures w14:val="standardContextual"/>
              </w:rPr>
              <w:t>Proceso adjudicado y celebrado</w:t>
            </w:r>
          </w:p>
        </w:tc>
      </w:tr>
    </w:tbl>
    <w:p w14:paraId="1ED67AD3" w14:textId="497E4480" w:rsidR="00E96D6D" w:rsidRPr="00376AE3" w:rsidRDefault="00EA7CDF" w:rsidP="00AA2E1D">
      <w:pPr>
        <w:spacing w:after="0" w:line="278" w:lineRule="auto"/>
        <w:jc w:val="both"/>
        <w:rPr>
          <w:rFonts w:ascii="Arial" w:eastAsia="Aptos" w:hAnsi="Arial" w:cs="Arial"/>
          <w:kern w:val="2"/>
          <w14:ligatures w14:val="standardContextual"/>
        </w:rPr>
      </w:pPr>
      <w:r w:rsidRPr="00376AE3">
        <w:rPr>
          <w:rFonts w:ascii="Arial" w:eastAsia="Aptos" w:hAnsi="Arial" w:cs="Arial"/>
          <w:kern w:val="2"/>
          <w14:ligatures w14:val="standardContextual"/>
        </w:rPr>
        <w:t xml:space="preserve">       </w:t>
      </w:r>
    </w:p>
    <w:p w14:paraId="3E3CECA9" w14:textId="49D64AFB" w:rsidR="00C5050B" w:rsidRPr="00376AE3" w:rsidRDefault="00F2378D" w:rsidP="00E975F8">
      <w:pPr>
        <w:pStyle w:val="Prrafodelista"/>
        <w:numPr>
          <w:ilvl w:val="0"/>
          <w:numId w:val="18"/>
        </w:numPr>
        <w:spacing w:after="0" w:line="240" w:lineRule="auto"/>
        <w:ind w:right="74"/>
        <w:jc w:val="both"/>
        <w:rPr>
          <w:rFonts w:ascii="Arial" w:hAnsi="Arial" w:cs="Arial"/>
          <w:b/>
        </w:rPr>
      </w:pPr>
      <w:r w:rsidRPr="00376AE3">
        <w:rPr>
          <w:rFonts w:ascii="Arial" w:hAnsi="Arial" w:cs="Arial"/>
          <w:b/>
        </w:rPr>
        <w:t>ANÁLISIS DE LA OFERTA</w:t>
      </w:r>
    </w:p>
    <w:p w14:paraId="1A9B31A2" w14:textId="77777777" w:rsidR="00734FC1" w:rsidRPr="00376AE3" w:rsidRDefault="00734FC1" w:rsidP="00517EB3">
      <w:pPr>
        <w:pStyle w:val="Prrafodelista"/>
        <w:spacing w:after="0" w:line="240" w:lineRule="auto"/>
        <w:ind w:left="360" w:right="74"/>
        <w:rPr>
          <w:rFonts w:ascii="Arial" w:hAnsi="Arial" w:cs="Arial"/>
          <w:b/>
        </w:rPr>
      </w:pPr>
    </w:p>
    <w:p w14:paraId="065440DD" w14:textId="77777777" w:rsidR="002A07F8" w:rsidRPr="002A07F8" w:rsidRDefault="002A07F8" w:rsidP="002A07F8">
      <w:pPr>
        <w:pStyle w:val="Textoindependiente"/>
        <w:spacing w:after="0" w:line="240" w:lineRule="auto"/>
        <w:jc w:val="both"/>
        <w:rPr>
          <w:rFonts w:ascii="Arial" w:hAnsi="Arial" w:cs="Arial"/>
          <w:bCs/>
        </w:rPr>
      </w:pPr>
      <w:r w:rsidRPr="002A07F8">
        <w:rPr>
          <w:rFonts w:ascii="Arial" w:hAnsi="Arial" w:cs="Arial"/>
          <w:bCs/>
        </w:rPr>
        <w:t>Análisis Modelo Abastecimiento Estratégico de la Oferta - Colombia Compra</w:t>
      </w:r>
    </w:p>
    <w:p w14:paraId="69491DBF" w14:textId="77777777" w:rsidR="002A07F8" w:rsidRPr="002A07F8" w:rsidRDefault="002A07F8" w:rsidP="002A07F8">
      <w:pPr>
        <w:pStyle w:val="Textoindependiente"/>
        <w:spacing w:after="0" w:line="240" w:lineRule="auto"/>
        <w:jc w:val="both"/>
        <w:rPr>
          <w:rFonts w:ascii="Arial" w:hAnsi="Arial" w:cs="Arial"/>
          <w:bCs/>
        </w:rPr>
      </w:pPr>
    </w:p>
    <w:p w14:paraId="09A96BA0" w14:textId="6BA711B2" w:rsidR="002A07F8" w:rsidRDefault="002A07F8" w:rsidP="002A07F8">
      <w:pPr>
        <w:pStyle w:val="Textoindependiente"/>
        <w:spacing w:after="0" w:line="240" w:lineRule="auto"/>
        <w:jc w:val="both"/>
        <w:rPr>
          <w:rFonts w:ascii="Arial" w:hAnsi="Arial" w:cs="Arial"/>
          <w:bCs/>
        </w:rPr>
      </w:pPr>
      <w:r w:rsidRPr="002A07F8">
        <w:rPr>
          <w:rFonts w:ascii="Arial" w:hAnsi="Arial" w:cs="Arial"/>
          <w:bCs/>
        </w:rPr>
        <w:t>De acuerdo con la herramienta de Modelo Abastecimiento Estratégico que dispone la Agencia Nacional de Contratación Pública Colombia Compra Eficiente se realizó la consulta de Análisis de la Oferta con</w:t>
      </w:r>
      <w:r w:rsidR="00EF167B">
        <w:rPr>
          <w:rFonts w:ascii="Arial" w:hAnsi="Arial" w:cs="Arial"/>
          <w:bCs/>
        </w:rPr>
        <w:t xml:space="preserve"> los proveedores del departamento del Tolima en</w:t>
      </w:r>
      <w:r w:rsidRPr="002A07F8">
        <w:rPr>
          <w:rFonts w:ascii="Arial" w:hAnsi="Arial" w:cs="Arial"/>
          <w:bCs/>
        </w:rPr>
        <w:t xml:space="preserve"> la categoría: 4</w:t>
      </w:r>
      <w:r>
        <w:rPr>
          <w:rFonts w:ascii="Arial" w:hAnsi="Arial" w:cs="Arial"/>
          <w:bCs/>
        </w:rPr>
        <w:t>3</w:t>
      </w:r>
      <w:r w:rsidRPr="002A07F8">
        <w:rPr>
          <w:rFonts w:ascii="Arial" w:hAnsi="Arial" w:cs="Arial"/>
          <w:bCs/>
        </w:rPr>
        <w:t xml:space="preserve"> </w:t>
      </w:r>
      <w:r>
        <w:rPr>
          <w:rFonts w:ascii="Arial" w:hAnsi="Arial" w:cs="Arial"/>
          <w:bCs/>
        </w:rPr>
        <w:t>Difusión de Tecnologías de Información y Telecomunicaciones</w:t>
      </w:r>
      <w:r w:rsidRPr="002A07F8">
        <w:rPr>
          <w:rFonts w:ascii="Arial" w:hAnsi="Arial" w:cs="Arial"/>
          <w:bCs/>
        </w:rPr>
        <w:t xml:space="preserve">, arrojando los siguientes resultados en relación con los </w:t>
      </w:r>
      <w:r w:rsidR="00EF167B">
        <w:rPr>
          <w:rFonts w:ascii="Arial" w:hAnsi="Arial" w:cs="Arial"/>
          <w:bCs/>
        </w:rPr>
        <w:t xml:space="preserve">de </w:t>
      </w:r>
      <w:r w:rsidRPr="002A07F8">
        <w:rPr>
          <w:rFonts w:ascii="Arial" w:hAnsi="Arial" w:cs="Arial"/>
          <w:bCs/>
        </w:rPr>
        <w:t>las vigencias del 2023, 2024 y 2025 que se describen en las siguientes gráficas:</w:t>
      </w:r>
    </w:p>
    <w:p w14:paraId="664E76F4" w14:textId="77777777" w:rsidR="002A07F8" w:rsidRDefault="002A07F8" w:rsidP="00517EB3">
      <w:pPr>
        <w:pStyle w:val="Textoindependiente"/>
        <w:spacing w:after="0" w:line="240" w:lineRule="auto"/>
        <w:jc w:val="both"/>
        <w:rPr>
          <w:rFonts w:ascii="Arial" w:hAnsi="Arial" w:cs="Arial"/>
          <w:bCs/>
        </w:rPr>
      </w:pPr>
    </w:p>
    <w:p w14:paraId="16CE52B1" w14:textId="77777777" w:rsidR="00EF167B" w:rsidRPr="00376AE3" w:rsidRDefault="00EF167B" w:rsidP="00EF167B">
      <w:pPr>
        <w:pStyle w:val="Textoindependiente"/>
        <w:spacing w:after="0" w:line="240" w:lineRule="auto"/>
        <w:jc w:val="center"/>
        <w:rPr>
          <w:rFonts w:ascii="Arial" w:hAnsi="Arial" w:cs="Arial"/>
          <w:b/>
        </w:rPr>
      </w:pPr>
      <w:r w:rsidRPr="00376AE3">
        <w:rPr>
          <w:rFonts w:ascii="Arial" w:hAnsi="Arial" w:cs="Arial"/>
          <w:b/>
        </w:rPr>
        <w:t>Imagen No. 01</w:t>
      </w:r>
    </w:p>
    <w:p w14:paraId="39769F69" w14:textId="77777777" w:rsidR="00EF167B" w:rsidRDefault="00EF167B" w:rsidP="00517EB3">
      <w:pPr>
        <w:pStyle w:val="Textoindependiente"/>
        <w:spacing w:after="0" w:line="240" w:lineRule="auto"/>
        <w:jc w:val="both"/>
        <w:rPr>
          <w:rFonts w:ascii="Arial" w:hAnsi="Arial" w:cs="Arial"/>
          <w:bCs/>
        </w:rPr>
      </w:pPr>
    </w:p>
    <w:p w14:paraId="51E60CDA" w14:textId="4838E9C5" w:rsidR="002A07F8" w:rsidRDefault="000C3B11" w:rsidP="00517EB3">
      <w:pPr>
        <w:pStyle w:val="Textoindependiente"/>
        <w:spacing w:after="0" w:line="240" w:lineRule="auto"/>
        <w:jc w:val="both"/>
        <w:rPr>
          <w:rFonts w:ascii="Arial" w:hAnsi="Arial" w:cs="Arial"/>
          <w:bCs/>
        </w:rPr>
      </w:pPr>
      <w:r>
        <w:rPr>
          <w:noProof/>
        </w:rPr>
        <w:drawing>
          <wp:inline distT="0" distB="0" distL="0" distR="0" wp14:anchorId="084B6D69" wp14:editId="7CEAF48F">
            <wp:extent cx="6518275" cy="2867025"/>
            <wp:effectExtent l="0" t="0" r="0" b="9525"/>
            <wp:docPr id="20338326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832695" name=""/>
                    <pic:cNvPicPr/>
                  </pic:nvPicPr>
                  <pic:blipFill rotWithShape="1">
                    <a:blip r:embed="rId9"/>
                    <a:srcRect t="16248" b="13056"/>
                    <a:stretch>
                      <a:fillRect/>
                    </a:stretch>
                  </pic:blipFill>
                  <pic:spPr bwMode="auto">
                    <a:xfrm>
                      <a:off x="0" y="0"/>
                      <a:ext cx="6526545" cy="2870663"/>
                    </a:xfrm>
                    <a:prstGeom prst="rect">
                      <a:avLst/>
                    </a:prstGeom>
                    <a:ln>
                      <a:noFill/>
                    </a:ln>
                    <a:extLst>
                      <a:ext uri="{53640926-AAD7-44D8-BBD7-CCE9431645EC}">
                        <a14:shadowObscured xmlns:a14="http://schemas.microsoft.com/office/drawing/2010/main"/>
                      </a:ext>
                    </a:extLst>
                  </pic:spPr>
                </pic:pic>
              </a:graphicData>
            </a:graphic>
          </wp:inline>
        </w:drawing>
      </w:r>
    </w:p>
    <w:p w14:paraId="5B920BF2" w14:textId="77777777" w:rsidR="000C3B11" w:rsidRDefault="000C3B11" w:rsidP="00517EB3">
      <w:pPr>
        <w:pStyle w:val="Textoindependiente"/>
        <w:spacing w:after="0" w:line="240" w:lineRule="auto"/>
        <w:jc w:val="both"/>
        <w:rPr>
          <w:rFonts w:ascii="Arial" w:hAnsi="Arial" w:cs="Arial"/>
          <w:bCs/>
        </w:rPr>
      </w:pPr>
    </w:p>
    <w:p w14:paraId="2C3B1264" w14:textId="2A0E267A" w:rsidR="00B83BC7" w:rsidRDefault="00B83BC7" w:rsidP="00517EB3">
      <w:pPr>
        <w:pStyle w:val="Textoindependiente"/>
        <w:spacing w:after="0" w:line="240" w:lineRule="auto"/>
        <w:jc w:val="both"/>
        <w:rPr>
          <w:rFonts w:ascii="Arial" w:hAnsi="Arial" w:cs="Arial"/>
          <w:bCs/>
        </w:rPr>
      </w:pPr>
      <w:r>
        <w:rPr>
          <w:rFonts w:ascii="Arial" w:hAnsi="Arial" w:cs="Arial"/>
          <w:bCs/>
        </w:rPr>
        <w:t xml:space="preserve">En la imagen No. 1 se puede analizar que el año de mayor valor en que participaron los proveedores en procesos contractuales del departamento del Tolima en la plataforma Secop II – modalidad competitiva en la categoría </w:t>
      </w:r>
      <w:r w:rsidRPr="002A07F8">
        <w:rPr>
          <w:rFonts w:ascii="Arial" w:hAnsi="Arial" w:cs="Arial"/>
          <w:bCs/>
        </w:rPr>
        <w:t>4</w:t>
      </w:r>
      <w:r>
        <w:rPr>
          <w:rFonts w:ascii="Arial" w:hAnsi="Arial" w:cs="Arial"/>
          <w:bCs/>
        </w:rPr>
        <w:t>3:</w:t>
      </w:r>
      <w:r w:rsidRPr="002A07F8">
        <w:rPr>
          <w:rFonts w:ascii="Arial" w:hAnsi="Arial" w:cs="Arial"/>
          <w:bCs/>
        </w:rPr>
        <w:t xml:space="preserve"> </w:t>
      </w:r>
      <w:r>
        <w:rPr>
          <w:rFonts w:ascii="Arial" w:hAnsi="Arial" w:cs="Arial"/>
          <w:bCs/>
        </w:rPr>
        <w:t>Difusión de Tecnologías de Información y Telecomunicaciones es el de la vigencia 2024 con $3.200.000.000.</w:t>
      </w:r>
    </w:p>
    <w:p w14:paraId="3BA87680" w14:textId="77777777" w:rsidR="00B83BC7" w:rsidRDefault="00B83BC7" w:rsidP="00517EB3">
      <w:pPr>
        <w:pStyle w:val="Textoindependiente"/>
        <w:spacing w:after="0" w:line="240" w:lineRule="auto"/>
        <w:jc w:val="both"/>
        <w:rPr>
          <w:rFonts w:ascii="Arial" w:hAnsi="Arial" w:cs="Arial"/>
          <w:bCs/>
        </w:rPr>
      </w:pPr>
    </w:p>
    <w:p w14:paraId="51B06DF7" w14:textId="0CA0D98A" w:rsidR="00F23D98" w:rsidRPr="00376AE3" w:rsidRDefault="00F94772" w:rsidP="00F94772">
      <w:pPr>
        <w:pStyle w:val="Textoindependiente"/>
        <w:spacing w:after="0" w:line="240" w:lineRule="auto"/>
        <w:jc w:val="center"/>
        <w:rPr>
          <w:rFonts w:ascii="Arial" w:hAnsi="Arial" w:cs="Arial"/>
          <w:b/>
        </w:rPr>
      </w:pPr>
      <w:r w:rsidRPr="00376AE3">
        <w:rPr>
          <w:rFonts w:ascii="Arial" w:hAnsi="Arial" w:cs="Arial"/>
          <w:b/>
        </w:rPr>
        <w:t>Imagen No. 0</w:t>
      </w:r>
      <w:r w:rsidR="00B83BC7">
        <w:rPr>
          <w:rFonts w:ascii="Arial" w:hAnsi="Arial" w:cs="Arial"/>
          <w:b/>
        </w:rPr>
        <w:t>2</w:t>
      </w:r>
    </w:p>
    <w:p w14:paraId="4EAC6AEE" w14:textId="6B693B1E" w:rsidR="00DC5658" w:rsidRPr="00376AE3" w:rsidRDefault="00B83BC7" w:rsidP="00DC5658">
      <w:pPr>
        <w:pStyle w:val="Textoindependiente"/>
        <w:spacing w:after="0" w:line="360" w:lineRule="auto"/>
        <w:rPr>
          <w:rFonts w:ascii="Arial" w:hAnsi="Arial" w:cs="Arial"/>
          <w:b/>
        </w:rPr>
      </w:pPr>
      <w:r>
        <w:rPr>
          <w:noProof/>
        </w:rPr>
        <w:drawing>
          <wp:inline distT="0" distB="0" distL="0" distR="0" wp14:anchorId="6739E831" wp14:editId="2F1CA7CB">
            <wp:extent cx="6342380" cy="2800350"/>
            <wp:effectExtent l="0" t="0" r="1270" b="0"/>
            <wp:docPr id="18209004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900462" name=""/>
                    <pic:cNvPicPr/>
                  </pic:nvPicPr>
                  <pic:blipFill rotWithShape="1">
                    <a:blip r:embed="rId10"/>
                    <a:srcRect t="18530" r="4081" b="13055"/>
                    <a:stretch>
                      <a:fillRect/>
                    </a:stretch>
                  </pic:blipFill>
                  <pic:spPr bwMode="auto">
                    <a:xfrm>
                      <a:off x="0" y="0"/>
                      <a:ext cx="6345851" cy="2801883"/>
                    </a:xfrm>
                    <a:prstGeom prst="rect">
                      <a:avLst/>
                    </a:prstGeom>
                    <a:ln>
                      <a:noFill/>
                    </a:ln>
                    <a:extLst>
                      <a:ext uri="{53640926-AAD7-44D8-BBD7-CCE9431645EC}">
                        <a14:shadowObscured xmlns:a14="http://schemas.microsoft.com/office/drawing/2010/main"/>
                      </a:ext>
                    </a:extLst>
                  </pic:spPr>
                </pic:pic>
              </a:graphicData>
            </a:graphic>
          </wp:inline>
        </w:drawing>
      </w:r>
    </w:p>
    <w:p w14:paraId="0E613DA4" w14:textId="77777777" w:rsidR="00FB0156" w:rsidRDefault="00FB0156" w:rsidP="005E7128">
      <w:pPr>
        <w:pStyle w:val="Textoindependiente"/>
        <w:spacing w:after="0" w:line="360" w:lineRule="auto"/>
        <w:rPr>
          <w:rFonts w:ascii="Arial" w:hAnsi="Arial" w:cs="Arial"/>
        </w:rPr>
      </w:pPr>
    </w:p>
    <w:p w14:paraId="233EC41D" w14:textId="008DC76D" w:rsidR="000C4738" w:rsidRDefault="000C4738" w:rsidP="000C4738">
      <w:pPr>
        <w:pStyle w:val="Textoindependiente"/>
        <w:spacing w:after="0" w:line="240" w:lineRule="auto"/>
        <w:jc w:val="both"/>
        <w:rPr>
          <w:rFonts w:ascii="Arial" w:hAnsi="Arial" w:cs="Arial"/>
          <w:bCs/>
        </w:rPr>
      </w:pPr>
      <w:r>
        <w:rPr>
          <w:rFonts w:ascii="Arial" w:hAnsi="Arial" w:cs="Arial"/>
          <w:bCs/>
        </w:rPr>
        <w:t xml:space="preserve">En la imagen No. 2 se analiza que el año de mayor número de contratos celebrados por los proveedores en procesos contractuales del departamento del Tolima en la plataforma Secop II – </w:t>
      </w:r>
      <w:r>
        <w:rPr>
          <w:rFonts w:ascii="Arial" w:hAnsi="Arial" w:cs="Arial"/>
          <w:bCs/>
        </w:rPr>
        <w:lastRenderedPageBreak/>
        <w:t xml:space="preserve">modalidad competitiva en la categoría </w:t>
      </w:r>
      <w:r w:rsidRPr="002A07F8">
        <w:rPr>
          <w:rFonts w:ascii="Arial" w:hAnsi="Arial" w:cs="Arial"/>
          <w:bCs/>
        </w:rPr>
        <w:t>4</w:t>
      </w:r>
      <w:r>
        <w:rPr>
          <w:rFonts w:ascii="Arial" w:hAnsi="Arial" w:cs="Arial"/>
          <w:bCs/>
        </w:rPr>
        <w:t>3:</w:t>
      </w:r>
      <w:r w:rsidRPr="002A07F8">
        <w:rPr>
          <w:rFonts w:ascii="Arial" w:hAnsi="Arial" w:cs="Arial"/>
          <w:bCs/>
        </w:rPr>
        <w:t xml:space="preserve"> </w:t>
      </w:r>
      <w:r>
        <w:rPr>
          <w:rFonts w:ascii="Arial" w:hAnsi="Arial" w:cs="Arial"/>
          <w:bCs/>
        </w:rPr>
        <w:t>Difusión de Tecnologías de Información y Telecomunicaciones es el de la vigencia 2025 con 40 contratos.</w:t>
      </w:r>
    </w:p>
    <w:p w14:paraId="4E1382B7" w14:textId="77777777" w:rsidR="009E72D2" w:rsidRPr="00376AE3" w:rsidRDefault="009E72D2" w:rsidP="005E7128">
      <w:pPr>
        <w:pStyle w:val="Textoindependiente"/>
        <w:spacing w:after="0" w:line="360" w:lineRule="auto"/>
        <w:jc w:val="center"/>
        <w:rPr>
          <w:rFonts w:ascii="Arial" w:hAnsi="Arial" w:cs="Arial"/>
          <w:b/>
          <w:lang w:val="pt-PT"/>
        </w:rPr>
      </w:pPr>
    </w:p>
    <w:p w14:paraId="6E3EAA63" w14:textId="77777777" w:rsidR="00122293" w:rsidRDefault="00557938" w:rsidP="005E7128">
      <w:pPr>
        <w:pStyle w:val="Textoindependiente"/>
        <w:spacing w:after="0" w:line="360" w:lineRule="auto"/>
        <w:jc w:val="center"/>
        <w:rPr>
          <w:rFonts w:ascii="Arial" w:hAnsi="Arial" w:cs="Arial"/>
          <w:b/>
        </w:rPr>
      </w:pPr>
      <w:r w:rsidRPr="00376AE3">
        <w:rPr>
          <w:rFonts w:ascii="Arial" w:hAnsi="Arial" w:cs="Arial"/>
          <w:b/>
        </w:rPr>
        <w:t>Imagen No.</w:t>
      </w:r>
      <w:r w:rsidR="00FB0156" w:rsidRPr="00376AE3">
        <w:rPr>
          <w:rFonts w:ascii="Arial" w:hAnsi="Arial" w:cs="Arial"/>
          <w:b/>
        </w:rPr>
        <w:t>3</w:t>
      </w:r>
      <w:r w:rsidR="00E6284A" w:rsidRPr="00376AE3">
        <w:rPr>
          <w:rFonts w:ascii="Arial" w:hAnsi="Arial" w:cs="Arial"/>
          <w:b/>
        </w:rPr>
        <w:tab/>
      </w:r>
    </w:p>
    <w:p w14:paraId="094C56E4" w14:textId="74DEB303" w:rsidR="00122293" w:rsidRDefault="00122293" w:rsidP="005E7128">
      <w:pPr>
        <w:pStyle w:val="Textoindependiente"/>
        <w:spacing w:after="0" w:line="360" w:lineRule="auto"/>
        <w:jc w:val="center"/>
        <w:rPr>
          <w:noProof/>
        </w:rPr>
      </w:pPr>
      <w:r>
        <w:rPr>
          <w:noProof/>
        </w:rPr>
        <w:drawing>
          <wp:inline distT="0" distB="0" distL="0" distR="0" wp14:anchorId="3F99CEC2" wp14:editId="36EEA0EF">
            <wp:extent cx="6584315" cy="3000375"/>
            <wp:effectExtent l="0" t="0" r="6985" b="9525"/>
            <wp:docPr id="17072182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18287" name=""/>
                    <pic:cNvPicPr/>
                  </pic:nvPicPr>
                  <pic:blipFill rotWithShape="1">
                    <a:blip r:embed="rId11"/>
                    <a:srcRect t="17959" b="13341"/>
                    <a:stretch>
                      <a:fillRect/>
                    </a:stretch>
                  </pic:blipFill>
                  <pic:spPr bwMode="auto">
                    <a:xfrm>
                      <a:off x="0" y="0"/>
                      <a:ext cx="6596253" cy="3005815"/>
                    </a:xfrm>
                    <a:prstGeom prst="rect">
                      <a:avLst/>
                    </a:prstGeom>
                    <a:ln>
                      <a:noFill/>
                    </a:ln>
                    <a:extLst>
                      <a:ext uri="{53640926-AAD7-44D8-BBD7-CCE9431645EC}">
                        <a14:shadowObscured xmlns:a14="http://schemas.microsoft.com/office/drawing/2010/main"/>
                      </a:ext>
                    </a:extLst>
                  </pic:spPr>
                </pic:pic>
              </a:graphicData>
            </a:graphic>
          </wp:inline>
        </w:drawing>
      </w:r>
    </w:p>
    <w:p w14:paraId="3B9A2EA6" w14:textId="7BA0B8D4" w:rsidR="00122293" w:rsidRDefault="00122293" w:rsidP="005E7128">
      <w:pPr>
        <w:pStyle w:val="Textoindependiente"/>
        <w:spacing w:after="0" w:line="360" w:lineRule="auto"/>
        <w:jc w:val="center"/>
        <w:rPr>
          <w:rFonts w:ascii="Arial" w:hAnsi="Arial" w:cs="Arial"/>
          <w:b/>
        </w:rPr>
      </w:pPr>
    </w:p>
    <w:p w14:paraId="732BA8C7" w14:textId="77777777" w:rsidR="00AF5E83" w:rsidRDefault="00AF5E83" w:rsidP="00122293">
      <w:pPr>
        <w:pStyle w:val="Textoindependiente"/>
        <w:spacing w:after="0" w:line="240" w:lineRule="auto"/>
        <w:jc w:val="both"/>
        <w:rPr>
          <w:rFonts w:ascii="Arial" w:hAnsi="Arial" w:cs="Arial"/>
          <w:bCs/>
        </w:rPr>
      </w:pPr>
    </w:p>
    <w:p w14:paraId="711010C1" w14:textId="77777777" w:rsidR="00AF5E83" w:rsidRDefault="00AF5E83" w:rsidP="00AF5E83">
      <w:pPr>
        <w:pStyle w:val="Textoindependiente"/>
        <w:spacing w:after="0" w:line="360" w:lineRule="auto"/>
        <w:jc w:val="center"/>
        <w:rPr>
          <w:rFonts w:ascii="Arial" w:hAnsi="Arial" w:cs="Arial"/>
          <w:b/>
        </w:rPr>
      </w:pPr>
      <w:r w:rsidRPr="00376AE3">
        <w:rPr>
          <w:rFonts w:ascii="Arial" w:hAnsi="Arial" w:cs="Arial"/>
          <w:b/>
        </w:rPr>
        <w:t>Imagen No. 0</w:t>
      </w:r>
      <w:r>
        <w:rPr>
          <w:rFonts w:ascii="Arial" w:hAnsi="Arial" w:cs="Arial"/>
          <w:b/>
        </w:rPr>
        <w:t>4</w:t>
      </w:r>
    </w:p>
    <w:p w14:paraId="7F0E01A4" w14:textId="77777777" w:rsidR="00AF5E83" w:rsidRDefault="00AF5E83" w:rsidP="00122293">
      <w:pPr>
        <w:pStyle w:val="Textoindependiente"/>
        <w:spacing w:after="0" w:line="240" w:lineRule="auto"/>
        <w:jc w:val="both"/>
        <w:rPr>
          <w:noProof/>
        </w:rPr>
      </w:pPr>
    </w:p>
    <w:p w14:paraId="51F2F0DF" w14:textId="1AB3CEB7" w:rsidR="00AF5E83" w:rsidRDefault="00AF5E83" w:rsidP="00122293">
      <w:pPr>
        <w:pStyle w:val="Textoindependiente"/>
        <w:spacing w:after="0" w:line="240" w:lineRule="auto"/>
        <w:jc w:val="both"/>
        <w:rPr>
          <w:rFonts w:ascii="Arial" w:hAnsi="Arial" w:cs="Arial"/>
          <w:bCs/>
        </w:rPr>
      </w:pPr>
      <w:r>
        <w:rPr>
          <w:noProof/>
        </w:rPr>
        <w:drawing>
          <wp:inline distT="0" distB="0" distL="0" distR="0" wp14:anchorId="3C2D88D2" wp14:editId="6B773AF1">
            <wp:extent cx="6429375" cy="2295358"/>
            <wp:effectExtent l="0" t="0" r="0" b="0"/>
            <wp:docPr id="17545476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547665" name=""/>
                    <pic:cNvPicPr/>
                  </pic:nvPicPr>
                  <pic:blipFill rotWithShape="1">
                    <a:blip r:embed="rId12"/>
                    <a:srcRect t="21095" r="1762" b="26169"/>
                    <a:stretch>
                      <a:fillRect/>
                    </a:stretch>
                  </pic:blipFill>
                  <pic:spPr bwMode="auto">
                    <a:xfrm>
                      <a:off x="0" y="0"/>
                      <a:ext cx="6455735" cy="2304769"/>
                    </a:xfrm>
                    <a:prstGeom prst="rect">
                      <a:avLst/>
                    </a:prstGeom>
                    <a:ln>
                      <a:noFill/>
                    </a:ln>
                    <a:extLst>
                      <a:ext uri="{53640926-AAD7-44D8-BBD7-CCE9431645EC}">
                        <a14:shadowObscured xmlns:a14="http://schemas.microsoft.com/office/drawing/2010/main"/>
                      </a:ext>
                    </a:extLst>
                  </pic:spPr>
                </pic:pic>
              </a:graphicData>
            </a:graphic>
          </wp:inline>
        </w:drawing>
      </w:r>
    </w:p>
    <w:p w14:paraId="1B6767DA" w14:textId="77777777" w:rsidR="00AF5E83" w:rsidRDefault="00AF5E83" w:rsidP="00122293">
      <w:pPr>
        <w:pStyle w:val="Textoindependiente"/>
        <w:spacing w:after="0" w:line="240" w:lineRule="auto"/>
        <w:jc w:val="both"/>
        <w:rPr>
          <w:rFonts w:ascii="Arial" w:hAnsi="Arial" w:cs="Arial"/>
          <w:bCs/>
        </w:rPr>
      </w:pPr>
    </w:p>
    <w:p w14:paraId="2434D417" w14:textId="14E6C293" w:rsidR="00122293" w:rsidRDefault="00122293" w:rsidP="00122293">
      <w:pPr>
        <w:pStyle w:val="Textoindependiente"/>
        <w:spacing w:after="0" w:line="240" w:lineRule="auto"/>
        <w:jc w:val="both"/>
        <w:rPr>
          <w:rFonts w:ascii="Arial" w:hAnsi="Arial" w:cs="Arial"/>
          <w:bCs/>
        </w:rPr>
      </w:pPr>
      <w:r>
        <w:rPr>
          <w:rFonts w:ascii="Arial" w:hAnsi="Arial" w:cs="Arial"/>
          <w:bCs/>
        </w:rPr>
        <w:t>En la</w:t>
      </w:r>
      <w:r w:rsidR="00AF5E83">
        <w:rPr>
          <w:rFonts w:ascii="Arial" w:hAnsi="Arial" w:cs="Arial"/>
          <w:bCs/>
        </w:rPr>
        <w:t>s</w:t>
      </w:r>
      <w:r>
        <w:rPr>
          <w:rFonts w:ascii="Arial" w:hAnsi="Arial" w:cs="Arial"/>
          <w:bCs/>
        </w:rPr>
        <w:t xml:space="preserve"> im</w:t>
      </w:r>
      <w:r w:rsidR="00AF5E83">
        <w:rPr>
          <w:rFonts w:ascii="Arial" w:hAnsi="Arial" w:cs="Arial"/>
          <w:bCs/>
        </w:rPr>
        <w:t>á</w:t>
      </w:r>
      <w:r>
        <w:rPr>
          <w:rFonts w:ascii="Arial" w:hAnsi="Arial" w:cs="Arial"/>
          <w:bCs/>
        </w:rPr>
        <w:t>gen</w:t>
      </w:r>
      <w:r w:rsidR="00AF5E83">
        <w:rPr>
          <w:rFonts w:ascii="Arial" w:hAnsi="Arial" w:cs="Arial"/>
          <w:bCs/>
        </w:rPr>
        <w:t>es</w:t>
      </w:r>
      <w:r>
        <w:rPr>
          <w:rFonts w:ascii="Arial" w:hAnsi="Arial" w:cs="Arial"/>
          <w:bCs/>
        </w:rPr>
        <w:t xml:space="preserve"> No. 3</w:t>
      </w:r>
      <w:r w:rsidR="00AF5E83">
        <w:rPr>
          <w:rFonts w:ascii="Arial" w:hAnsi="Arial" w:cs="Arial"/>
          <w:bCs/>
        </w:rPr>
        <w:t xml:space="preserve"> y 4</w:t>
      </w:r>
      <w:r>
        <w:rPr>
          <w:rFonts w:ascii="Arial" w:hAnsi="Arial" w:cs="Arial"/>
          <w:bCs/>
        </w:rPr>
        <w:t xml:space="preserve"> se observa que el proveedor que obtuvo la cifra de contratación </w:t>
      </w:r>
      <w:r w:rsidR="00C44605">
        <w:rPr>
          <w:rFonts w:ascii="Arial" w:hAnsi="Arial" w:cs="Arial"/>
          <w:bCs/>
        </w:rPr>
        <w:t>más</w:t>
      </w:r>
      <w:r>
        <w:rPr>
          <w:rFonts w:ascii="Arial" w:hAnsi="Arial" w:cs="Arial"/>
          <w:bCs/>
        </w:rPr>
        <w:t xml:space="preserve"> alta en las vigencias del 2020 al 2025</w:t>
      </w:r>
      <w:r w:rsidRPr="00122293">
        <w:t xml:space="preserve"> </w:t>
      </w:r>
      <w:r w:rsidRPr="00122293">
        <w:rPr>
          <w:rFonts w:ascii="Arial" w:hAnsi="Arial" w:cs="Arial"/>
          <w:bCs/>
        </w:rPr>
        <w:t>del departamento del Tolima en la plataforma Secop II – modalidad competitiva en la categoría 43: Difusión de Tecnologías de Información y Telecomunicaciones</w:t>
      </w:r>
      <w:r>
        <w:rPr>
          <w:rFonts w:ascii="Arial" w:hAnsi="Arial" w:cs="Arial"/>
          <w:bCs/>
        </w:rPr>
        <w:t xml:space="preserve"> es LEON GRÁFICAS SAS por un valor de $2.266.446.736 con </w:t>
      </w:r>
      <w:r w:rsidR="00AF5E83">
        <w:rPr>
          <w:rFonts w:ascii="Arial" w:hAnsi="Arial" w:cs="Arial"/>
          <w:bCs/>
        </w:rPr>
        <w:t>2 contratos.</w:t>
      </w:r>
    </w:p>
    <w:p w14:paraId="19B9317A" w14:textId="77777777" w:rsidR="00122293" w:rsidRDefault="00122293" w:rsidP="00122293">
      <w:pPr>
        <w:pStyle w:val="Textoindependiente"/>
        <w:spacing w:after="0" w:line="240" w:lineRule="auto"/>
        <w:jc w:val="both"/>
        <w:rPr>
          <w:rFonts w:ascii="Arial" w:hAnsi="Arial" w:cs="Arial"/>
          <w:bCs/>
        </w:rPr>
      </w:pPr>
    </w:p>
    <w:p w14:paraId="2FBE10F0" w14:textId="78590108" w:rsidR="00AF5E83" w:rsidRDefault="00AF5E83" w:rsidP="00AF5E83">
      <w:pPr>
        <w:pStyle w:val="Textoindependiente"/>
        <w:spacing w:after="0" w:line="360" w:lineRule="auto"/>
        <w:jc w:val="center"/>
        <w:rPr>
          <w:rFonts w:ascii="Arial" w:hAnsi="Arial" w:cs="Arial"/>
          <w:b/>
        </w:rPr>
      </w:pPr>
      <w:r w:rsidRPr="00376AE3">
        <w:rPr>
          <w:rFonts w:ascii="Arial" w:hAnsi="Arial" w:cs="Arial"/>
          <w:b/>
        </w:rPr>
        <w:lastRenderedPageBreak/>
        <w:t>Imagen No. 0</w:t>
      </w:r>
      <w:r>
        <w:rPr>
          <w:rFonts w:ascii="Arial" w:hAnsi="Arial" w:cs="Arial"/>
          <w:b/>
        </w:rPr>
        <w:t>5</w:t>
      </w:r>
    </w:p>
    <w:p w14:paraId="291DE98B" w14:textId="300DD09A" w:rsidR="00AF5E83" w:rsidRPr="00376AE3" w:rsidRDefault="00AF5E83" w:rsidP="00C44605">
      <w:pPr>
        <w:pStyle w:val="Textoindependiente"/>
        <w:spacing w:after="0" w:line="360" w:lineRule="auto"/>
        <w:jc w:val="both"/>
        <w:rPr>
          <w:rFonts w:ascii="Arial" w:hAnsi="Arial" w:cs="Arial"/>
          <w:b/>
        </w:rPr>
      </w:pPr>
      <w:r>
        <w:rPr>
          <w:noProof/>
        </w:rPr>
        <w:drawing>
          <wp:inline distT="0" distB="0" distL="0" distR="0" wp14:anchorId="474DD022" wp14:editId="41575905">
            <wp:extent cx="6215497" cy="3524250"/>
            <wp:effectExtent l="0" t="0" r="0" b="0"/>
            <wp:docPr id="17052483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48385" name=""/>
                    <pic:cNvPicPr/>
                  </pic:nvPicPr>
                  <pic:blipFill rotWithShape="1">
                    <a:blip r:embed="rId13"/>
                    <a:srcRect l="49519" t="26227" r="3846" b="26738"/>
                    <a:stretch>
                      <a:fillRect/>
                    </a:stretch>
                  </pic:blipFill>
                  <pic:spPr bwMode="auto">
                    <a:xfrm>
                      <a:off x="0" y="0"/>
                      <a:ext cx="6227939" cy="3531305"/>
                    </a:xfrm>
                    <a:prstGeom prst="rect">
                      <a:avLst/>
                    </a:prstGeom>
                    <a:ln>
                      <a:noFill/>
                    </a:ln>
                    <a:extLst>
                      <a:ext uri="{53640926-AAD7-44D8-BBD7-CCE9431645EC}">
                        <a14:shadowObscured xmlns:a14="http://schemas.microsoft.com/office/drawing/2010/main"/>
                      </a:ext>
                    </a:extLst>
                  </pic:spPr>
                </pic:pic>
              </a:graphicData>
            </a:graphic>
          </wp:inline>
        </w:drawing>
      </w:r>
    </w:p>
    <w:p w14:paraId="719353CF" w14:textId="77777777" w:rsidR="00122293" w:rsidRDefault="00122293" w:rsidP="005E7128">
      <w:pPr>
        <w:pStyle w:val="Textoindependiente"/>
        <w:spacing w:after="0" w:line="360" w:lineRule="auto"/>
        <w:jc w:val="center"/>
        <w:rPr>
          <w:rFonts w:ascii="Arial" w:hAnsi="Arial" w:cs="Arial"/>
          <w:b/>
        </w:rPr>
      </w:pPr>
    </w:p>
    <w:p w14:paraId="7AD5773E" w14:textId="4C28FA96" w:rsidR="00AF5E83" w:rsidRDefault="00AF5E83" w:rsidP="00AF5E83">
      <w:pPr>
        <w:pStyle w:val="Textoindependiente"/>
        <w:spacing w:after="0" w:line="240" w:lineRule="auto"/>
        <w:jc w:val="both"/>
        <w:rPr>
          <w:rFonts w:ascii="Arial" w:hAnsi="Arial" w:cs="Arial"/>
          <w:bCs/>
        </w:rPr>
      </w:pPr>
      <w:r>
        <w:rPr>
          <w:rFonts w:ascii="Arial" w:hAnsi="Arial" w:cs="Arial"/>
          <w:bCs/>
        </w:rPr>
        <w:t xml:space="preserve">En la </w:t>
      </w:r>
      <w:r w:rsidR="00B06133">
        <w:rPr>
          <w:rFonts w:ascii="Arial" w:hAnsi="Arial" w:cs="Arial"/>
          <w:bCs/>
        </w:rPr>
        <w:t>imagen</w:t>
      </w:r>
      <w:r>
        <w:rPr>
          <w:rFonts w:ascii="Arial" w:hAnsi="Arial" w:cs="Arial"/>
          <w:bCs/>
        </w:rPr>
        <w:t xml:space="preserve"> No. 5 se observa que la modalidad de contratación que</w:t>
      </w:r>
      <w:r w:rsidR="00B06133">
        <w:rPr>
          <w:rFonts w:ascii="Arial" w:hAnsi="Arial" w:cs="Arial"/>
          <w:bCs/>
        </w:rPr>
        <w:t xml:space="preserve"> se </w:t>
      </w:r>
      <w:r>
        <w:rPr>
          <w:rFonts w:ascii="Arial" w:hAnsi="Arial" w:cs="Arial"/>
          <w:bCs/>
        </w:rPr>
        <w:t>obtuvo la cifra de contratación más alta en las vigencias del 2020 al 2025</w:t>
      </w:r>
      <w:r w:rsidRPr="00122293">
        <w:t xml:space="preserve"> </w:t>
      </w:r>
      <w:r w:rsidRPr="00122293">
        <w:rPr>
          <w:rFonts w:ascii="Arial" w:hAnsi="Arial" w:cs="Arial"/>
          <w:bCs/>
        </w:rPr>
        <w:t>del departamento del Tolima en la plataforma Secop II – modalidad competitiva en la categoría 43: Difusión de Tecnologías de Información y Telecomunicaciones</w:t>
      </w:r>
      <w:r>
        <w:rPr>
          <w:rFonts w:ascii="Arial" w:hAnsi="Arial" w:cs="Arial"/>
          <w:bCs/>
        </w:rPr>
        <w:t xml:space="preserve"> es </w:t>
      </w:r>
      <w:r w:rsidR="00B06133">
        <w:rPr>
          <w:rFonts w:ascii="Arial" w:hAnsi="Arial" w:cs="Arial"/>
          <w:bCs/>
        </w:rPr>
        <w:t>MÍNIMA CUANTÍA</w:t>
      </w:r>
      <w:r>
        <w:rPr>
          <w:rFonts w:ascii="Arial" w:hAnsi="Arial" w:cs="Arial"/>
          <w:bCs/>
        </w:rPr>
        <w:t xml:space="preserve"> por un valor de $</w:t>
      </w:r>
      <w:r w:rsidR="00B06133">
        <w:rPr>
          <w:rFonts w:ascii="Arial" w:hAnsi="Arial" w:cs="Arial"/>
          <w:bCs/>
        </w:rPr>
        <w:t>3.339.840.864 correspondiente al 42% del total de la contratación</w:t>
      </w:r>
      <w:r>
        <w:rPr>
          <w:rFonts w:ascii="Arial" w:hAnsi="Arial" w:cs="Arial"/>
          <w:bCs/>
        </w:rPr>
        <w:t>.</w:t>
      </w:r>
    </w:p>
    <w:p w14:paraId="713A47BB" w14:textId="77777777" w:rsidR="002B4A68" w:rsidRPr="00376AE3" w:rsidRDefault="002B4A68" w:rsidP="002B4A68">
      <w:pPr>
        <w:pStyle w:val="Textoindependiente"/>
        <w:spacing w:after="0" w:line="240" w:lineRule="auto"/>
        <w:jc w:val="both"/>
        <w:rPr>
          <w:rFonts w:ascii="Arial" w:hAnsi="Arial" w:cs="Arial"/>
          <w:b/>
          <w:bCs/>
          <w:color w:val="EE0000"/>
        </w:rPr>
      </w:pPr>
    </w:p>
    <w:p w14:paraId="23091F5B" w14:textId="2C50C542" w:rsidR="00760D87" w:rsidRPr="00376AE3" w:rsidRDefault="00680829" w:rsidP="00B00F57">
      <w:pPr>
        <w:pStyle w:val="Textoindependiente"/>
        <w:numPr>
          <w:ilvl w:val="0"/>
          <w:numId w:val="18"/>
        </w:numPr>
        <w:spacing w:after="0" w:line="240" w:lineRule="auto"/>
        <w:jc w:val="both"/>
        <w:rPr>
          <w:rFonts w:ascii="Arial" w:hAnsi="Arial" w:cs="Arial"/>
          <w:b/>
          <w:bCs/>
        </w:rPr>
      </w:pPr>
      <w:r w:rsidRPr="00B00F57">
        <w:rPr>
          <w:rFonts w:ascii="Arial" w:hAnsi="Arial" w:cs="Arial"/>
          <w:b/>
          <w:bCs/>
        </w:rPr>
        <w:t>COMPRA</w:t>
      </w:r>
      <w:r w:rsidRPr="00376AE3">
        <w:rPr>
          <w:rFonts w:ascii="Arial" w:hAnsi="Arial" w:cs="Arial"/>
          <w:b/>
          <w:bCs/>
        </w:rPr>
        <w:t xml:space="preserve"> MEDIANTE CATÁLOGO ELECTRÓNICO (SI APLICA)</w:t>
      </w:r>
    </w:p>
    <w:p w14:paraId="15841BD1" w14:textId="77777777" w:rsidR="00680829" w:rsidRPr="00376AE3" w:rsidRDefault="00680829" w:rsidP="00517EB3">
      <w:pPr>
        <w:pStyle w:val="Textoindependiente"/>
        <w:spacing w:after="0" w:line="240" w:lineRule="auto"/>
        <w:jc w:val="both"/>
        <w:rPr>
          <w:rFonts w:ascii="Arial" w:hAnsi="Arial" w:cs="Arial"/>
          <w:bCs/>
        </w:rPr>
      </w:pPr>
    </w:p>
    <w:p w14:paraId="3004A440" w14:textId="0FC96775" w:rsidR="00760D87" w:rsidRPr="00376AE3" w:rsidRDefault="00680829" w:rsidP="00517EB3">
      <w:pPr>
        <w:pStyle w:val="Textoindependiente"/>
        <w:spacing w:after="0" w:line="240" w:lineRule="auto"/>
        <w:jc w:val="both"/>
        <w:rPr>
          <w:rFonts w:ascii="Arial" w:hAnsi="Arial" w:cs="Arial"/>
          <w:bCs/>
        </w:rPr>
      </w:pPr>
      <w:r w:rsidRPr="00376AE3">
        <w:rPr>
          <w:rFonts w:ascii="Arial" w:hAnsi="Arial" w:cs="Arial"/>
          <w:bCs/>
        </w:rPr>
        <w:t>P</w:t>
      </w:r>
      <w:r w:rsidR="00760D87" w:rsidRPr="00376AE3">
        <w:rPr>
          <w:rFonts w:ascii="Arial" w:hAnsi="Arial" w:cs="Arial"/>
          <w:bCs/>
        </w:rPr>
        <w:t>lataformas como Tienda Virtual del Estado Colombiano (Colombia Compra Eficiente), si los productos están disponibles, lo cual permite:</w:t>
      </w:r>
    </w:p>
    <w:p w14:paraId="455DD813" w14:textId="77777777" w:rsidR="00517EB3" w:rsidRPr="00376AE3" w:rsidRDefault="00517EB3" w:rsidP="00517EB3">
      <w:pPr>
        <w:pStyle w:val="Textoindependiente"/>
        <w:spacing w:after="0" w:line="240" w:lineRule="auto"/>
        <w:jc w:val="both"/>
        <w:rPr>
          <w:rFonts w:ascii="Arial" w:hAnsi="Arial" w:cs="Arial"/>
          <w:bCs/>
        </w:rPr>
      </w:pPr>
    </w:p>
    <w:p w14:paraId="3D1DFBF3" w14:textId="77777777" w:rsidR="00760D87" w:rsidRPr="00376AE3" w:rsidRDefault="00760D87" w:rsidP="00E975F8">
      <w:pPr>
        <w:pStyle w:val="Textoindependiente"/>
        <w:numPr>
          <w:ilvl w:val="0"/>
          <w:numId w:val="3"/>
        </w:numPr>
        <w:spacing w:after="0" w:line="240" w:lineRule="auto"/>
        <w:jc w:val="both"/>
        <w:rPr>
          <w:rFonts w:ascii="Arial" w:hAnsi="Arial" w:cs="Arial"/>
          <w:bCs/>
        </w:rPr>
      </w:pPr>
      <w:r w:rsidRPr="00376AE3">
        <w:rPr>
          <w:rFonts w:ascii="Arial" w:hAnsi="Arial" w:cs="Arial"/>
          <w:bCs/>
        </w:rPr>
        <w:t>Contratación ágil.</w:t>
      </w:r>
    </w:p>
    <w:p w14:paraId="425764CE" w14:textId="77777777" w:rsidR="00760D87" w:rsidRPr="00376AE3" w:rsidRDefault="00760D87" w:rsidP="00E975F8">
      <w:pPr>
        <w:pStyle w:val="Textoindependiente"/>
        <w:numPr>
          <w:ilvl w:val="0"/>
          <w:numId w:val="3"/>
        </w:numPr>
        <w:spacing w:after="0" w:line="240" w:lineRule="auto"/>
        <w:jc w:val="both"/>
        <w:rPr>
          <w:rFonts w:ascii="Arial" w:hAnsi="Arial" w:cs="Arial"/>
          <w:bCs/>
        </w:rPr>
      </w:pPr>
      <w:r w:rsidRPr="00376AE3">
        <w:rPr>
          <w:rFonts w:ascii="Arial" w:hAnsi="Arial" w:cs="Arial"/>
          <w:bCs/>
        </w:rPr>
        <w:t>Proveedores previamente habilitados.</w:t>
      </w:r>
    </w:p>
    <w:p w14:paraId="2DC31046" w14:textId="77777777" w:rsidR="00760D87" w:rsidRPr="00376AE3" w:rsidRDefault="00760D87" w:rsidP="00E975F8">
      <w:pPr>
        <w:pStyle w:val="Textoindependiente"/>
        <w:numPr>
          <w:ilvl w:val="0"/>
          <w:numId w:val="3"/>
        </w:numPr>
        <w:spacing w:after="0" w:line="240" w:lineRule="auto"/>
        <w:jc w:val="both"/>
        <w:rPr>
          <w:rFonts w:ascii="Arial" w:hAnsi="Arial" w:cs="Arial"/>
          <w:bCs/>
        </w:rPr>
      </w:pPr>
      <w:r w:rsidRPr="00376AE3">
        <w:rPr>
          <w:rFonts w:ascii="Arial" w:hAnsi="Arial" w:cs="Arial"/>
          <w:bCs/>
        </w:rPr>
        <w:t>Estándares de calidad garantizados.</w:t>
      </w:r>
    </w:p>
    <w:p w14:paraId="0B05F521" w14:textId="77777777" w:rsidR="00517EB3" w:rsidRPr="00376AE3" w:rsidRDefault="00517EB3" w:rsidP="00517EB3">
      <w:pPr>
        <w:pStyle w:val="Textoindependiente"/>
        <w:spacing w:after="0" w:line="240" w:lineRule="auto"/>
        <w:jc w:val="both"/>
        <w:rPr>
          <w:rFonts w:ascii="Arial" w:hAnsi="Arial" w:cs="Arial"/>
          <w:bCs/>
        </w:rPr>
      </w:pPr>
    </w:p>
    <w:p w14:paraId="076C766A" w14:textId="77777777" w:rsidR="00517EB3" w:rsidRPr="00376AE3" w:rsidRDefault="00517EB3" w:rsidP="00517EB3">
      <w:pPr>
        <w:pStyle w:val="Textoindependiente"/>
        <w:spacing w:after="0" w:line="240" w:lineRule="auto"/>
        <w:jc w:val="both"/>
        <w:rPr>
          <w:rFonts w:ascii="Arial" w:hAnsi="Arial" w:cs="Arial"/>
          <w:bCs/>
        </w:rPr>
      </w:pPr>
    </w:p>
    <w:p w14:paraId="2B3F4B82" w14:textId="460099C5" w:rsidR="00703AC1" w:rsidRPr="00376AE3" w:rsidRDefault="00703AC1" w:rsidP="00E975F8">
      <w:pPr>
        <w:pStyle w:val="Prrafodelista"/>
        <w:numPr>
          <w:ilvl w:val="0"/>
          <w:numId w:val="22"/>
        </w:numPr>
        <w:spacing w:after="0"/>
        <w:rPr>
          <w:rFonts w:ascii="Arial" w:hAnsi="Arial" w:cs="Arial"/>
          <w:b/>
          <w:bCs/>
        </w:rPr>
      </w:pPr>
      <w:r w:rsidRPr="00376AE3">
        <w:rPr>
          <w:rFonts w:ascii="Arial" w:eastAsiaTheme="minorHAnsi" w:hAnsi="Arial" w:cs="Arial"/>
          <w:b/>
          <w:bCs/>
          <w:kern w:val="2"/>
          <w:lang w:val="es-MX"/>
          <w14:ligatures w14:val="standardContextual"/>
        </w:rPr>
        <w:t xml:space="preserve">ANALISIS DE ESTUDIO DE MERCADO </w:t>
      </w:r>
    </w:p>
    <w:p w14:paraId="5A870225" w14:textId="77777777" w:rsidR="00703AC1" w:rsidRPr="00376AE3" w:rsidRDefault="00703AC1" w:rsidP="00703AC1">
      <w:pPr>
        <w:spacing w:after="0" w:line="240" w:lineRule="auto"/>
        <w:jc w:val="both"/>
        <w:rPr>
          <w:rFonts w:ascii="Arial" w:hAnsi="Arial" w:cs="Arial"/>
          <w:b/>
          <w:bCs/>
        </w:rPr>
      </w:pPr>
    </w:p>
    <w:p w14:paraId="63FC1EAF" w14:textId="0A087D5D" w:rsidR="00703AC1" w:rsidRPr="00376AE3" w:rsidRDefault="00703AC1" w:rsidP="00703AC1">
      <w:pPr>
        <w:spacing w:after="0" w:line="259" w:lineRule="auto"/>
        <w:jc w:val="both"/>
        <w:rPr>
          <w:rFonts w:ascii="Arial" w:eastAsiaTheme="minorHAnsi" w:hAnsi="Arial" w:cs="Arial"/>
          <w:kern w:val="2"/>
          <w:lang w:val="es-MX"/>
          <w14:ligatures w14:val="standardContextual"/>
        </w:rPr>
      </w:pPr>
      <w:r w:rsidRPr="00376AE3">
        <w:rPr>
          <w:rFonts w:ascii="Arial" w:eastAsiaTheme="minorHAnsi" w:hAnsi="Arial" w:cs="Arial"/>
          <w:kern w:val="2"/>
          <w:lang w:val="es-MX"/>
          <w14:ligatures w14:val="standardContextual"/>
        </w:rPr>
        <w:t xml:space="preserve">A continuación, se relaciona el estudio de mercado realizado para la compra de </w:t>
      </w:r>
      <w:r w:rsidR="00B00F57">
        <w:rPr>
          <w:rFonts w:ascii="Arial" w:eastAsiaTheme="minorHAnsi" w:hAnsi="Arial" w:cs="Arial"/>
          <w:kern w:val="2"/>
          <w:lang w:val="es-MX"/>
          <w14:ligatures w14:val="standardContextual"/>
        </w:rPr>
        <w:t>EQUIPOS DE COMPUTO</w:t>
      </w:r>
      <w:r w:rsidR="001A7414" w:rsidRPr="00376AE3">
        <w:rPr>
          <w:rFonts w:ascii="Arial" w:eastAsiaTheme="minorHAnsi" w:hAnsi="Arial" w:cs="Arial"/>
          <w:kern w:val="2"/>
          <w:lang w:val="es-MX"/>
          <w14:ligatures w14:val="standardContextual"/>
        </w:rPr>
        <w:t xml:space="preserve"> </w:t>
      </w:r>
      <w:r w:rsidR="009F18A9" w:rsidRPr="00376AE3">
        <w:rPr>
          <w:rFonts w:ascii="Arial" w:eastAsia="Aptos" w:hAnsi="Arial" w:cs="Arial"/>
          <w:kern w:val="2"/>
          <w14:ligatures w14:val="standardContextual"/>
        </w:rPr>
        <w:t>para el</w:t>
      </w:r>
      <w:r w:rsidR="00B00F57">
        <w:rPr>
          <w:rFonts w:ascii="Arial" w:eastAsia="Aptos" w:hAnsi="Arial" w:cs="Arial"/>
          <w:kern w:val="2"/>
          <w14:ligatures w14:val="standardContextual"/>
        </w:rPr>
        <w:t xml:space="preserve"> funcionamiento de la Tienda </w:t>
      </w:r>
      <w:proofErr w:type="spellStart"/>
      <w:r w:rsidR="00B00F57">
        <w:rPr>
          <w:rFonts w:ascii="Arial" w:eastAsia="Aptos" w:hAnsi="Arial" w:cs="Arial"/>
          <w:kern w:val="2"/>
          <w14:ligatures w14:val="standardContextual"/>
        </w:rPr>
        <w:t>Zajuna</w:t>
      </w:r>
      <w:proofErr w:type="spellEnd"/>
      <w:r w:rsidR="00B00F57">
        <w:rPr>
          <w:rFonts w:ascii="Arial" w:eastAsia="Aptos" w:hAnsi="Arial" w:cs="Arial"/>
          <w:kern w:val="2"/>
          <w14:ligatures w14:val="standardContextual"/>
        </w:rPr>
        <w:t xml:space="preserve"> Campo de Carretera ubicada en el Centro Agropecuario La Granja</w:t>
      </w:r>
      <w:r w:rsidR="009F18A9" w:rsidRPr="00376AE3">
        <w:rPr>
          <w:rFonts w:ascii="Arial" w:eastAsia="Aptos" w:hAnsi="Arial" w:cs="Arial"/>
          <w:kern w:val="2"/>
          <w14:ligatures w14:val="standardContextual"/>
        </w:rPr>
        <w:t>.</w:t>
      </w:r>
    </w:p>
    <w:p w14:paraId="63F08DE4" w14:textId="77777777" w:rsidR="00703AC1" w:rsidRPr="00376AE3" w:rsidRDefault="00703AC1" w:rsidP="00703AC1">
      <w:pPr>
        <w:spacing w:after="0" w:line="259" w:lineRule="auto"/>
        <w:jc w:val="both"/>
        <w:rPr>
          <w:rFonts w:ascii="Arial" w:eastAsiaTheme="minorHAnsi" w:hAnsi="Arial" w:cs="Arial"/>
          <w:kern w:val="2"/>
          <w:lang w:val="es-MX"/>
          <w14:ligatures w14:val="standardContextual"/>
        </w:rPr>
      </w:pPr>
    </w:p>
    <w:p w14:paraId="5A321D9A" w14:textId="469FA2A3" w:rsidR="00703AC1" w:rsidRPr="00376AE3" w:rsidRDefault="00703AC1" w:rsidP="00703AC1">
      <w:pPr>
        <w:spacing w:after="0" w:line="259" w:lineRule="auto"/>
        <w:jc w:val="both"/>
        <w:rPr>
          <w:rFonts w:ascii="Arial" w:eastAsiaTheme="minorHAnsi" w:hAnsi="Arial" w:cs="Arial"/>
          <w:kern w:val="2"/>
          <w:lang w:val="es-MX"/>
          <w14:ligatures w14:val="standardContextual"/>
        </w:rPr>
      </w:pPr>
      <w:r w:rsidRPr="00376AE3">
        <w:rPr>
          <w:rFonts w:ascii="Arial" w:eastAsiaTheme="minorHAnsi" w:hAnsi="Arial" w:cs="Arial"/>
          <w:kern w:val="2"/>
          <w:lang w:val="es-MX"/>
          <w14:ligatures w14:val="standardContextual"/>
        </w:rPr>
        <w:t xml:space="preserve">El procedimiento realizado consistió en consultar el catálogo de los productos ofertados en la página de la Tienda Virtual del Estado Colombiano - TVEC y verificando que estos coincidan con </w:t>
      </w:r>
      <w:r w:rsidRPr="00376AE3">
        <w:rPr>
          <w:rFonts w:ascii="Arial" w:eastAsiaTheme="minorHAnsi" w:hAnsi="Arial" w:cs="Arial"/>
          <w:kern w:val="2"/>
          <w:lang w:val="es-MX"/>
          <w14:ligatures w14:val="standardContextual"/>
        </w:rPr>
        <w:lastRenderedPageBreak/>
        <w:t xml:space="preserve">los requerimientos establecidos en la ficha técnica de la Entidad, y validando su disponibilidad. Luego se procedió a realizar la respectiva comparación en cuanto a precios por parte de cada una de las empresas oferentes. </w:t>
      </w:r>
    </w:p>
    <w:p w14:paraId="6CF0BFCA" w14:textId="77777777" w:rsidR="00703AC1" w:rsidRPr="00376AE3" w:rsidRDefault="00703AC1" w:rsidP="00703AC1">
      <w:pPr>
        <w:spacing w:after="0" w:line="259" w:lineRule="auto"/>
        <w:jc w:val="both"/>
        <w:rPr>
          <w:rFonts w:ascii="Arial" w:eastAsiaTheme="minorHAnsi" w:hAnsi="Arial" w:cs="Arial"/>
          <w:kern w:val="2"/>
          <w:lang w:val="es-MX"/>
          <w14:ligatures w14:val="standardContextual"/>
        </w:rPr>
      </w:pPr>
    </w:p>
    <w:p w14:paraId="7E3F1EA4" w14:textId="4ACF5042" w:rsidR="00517EB3" w:rsidRPr="00376AE3" w:rsidRDefault="00703AC1" w:rsidP="00980DA9">
      <w:pPr>
        <w:spacing w:after="0" w:line="259" w:lineRule="auto"/>
        <w:jc w:val="both"/>
        <w:rPr>
          <w:rFonts w:ascii="Arial" w:eastAsiaTheme="minorHAnsi" w:hAnsi="Arial" w:cs="Arial"/>
          <w:kern w:val="2"/>
          <w:lang w:val="es-MX"/>
          <w14:ligatures w14:val="standardContextual"/>
        </w:rPr>
      </w:pPr>
      <w:r w:rsidRPr="00376AE3">
        <w:rPr>
          <w:rFonts w:ascii="Arial" w:eastAsiaTheme="minorHAnsi" w:hAnsi="Arial" w:cs="Arial"/>
          <w:kern w:val="2"/>
          <w:lang w:val="es-MX"/>
          <w14:ligatures w14:val="standardContextual"/>
        </w:rPr>
        <w:t xml:space="preserve">Teniendo en cuenta la necesidad descrita en los ítems anteriores, se procede a realizar un estudio y cotización de cómo podría ser el abastecimiento usando órdenes de compra por la TVEC, se encuentra </w:t>
      </w:r>
      <w:r w:rsidR="00B00F57">
        <w:rPr>
          <w:rFonts w:ascii="Arial" w:eastAsiaTheme="minorHAnsi" w:hAnsi="Arial" w:cs="Arial"/>
          <w:kern w:val="2"/>
          <w:lang w:val="es-MX"/>
          <w14:ligatures w14:val="standardContextual"/>
        </w:rPr>
        <w:t>los</w:t>
      </w:r>
      <w:r w:rsidRPr="00376AE3">
        <w:rPr>
          <w:rFonts w:ascii="Arial" w:eastAsiaTheme="minorHAnsi" w:hAnsi="Arial" w:cs="Arial"/>
          <w:kern w:val="2"/>
          <w:lang w:val="es-MX"/>
          <w14:ligatures w14:val="standardContextual"/>
        </w:rPr>
        <w:t xml:space="preserve"> siguiente</w:t>
      </w:r>
      <w:r w:rsidR="00B00F57">
        <w:rPr>
          <w:rFonts w:ascii="Arial" w:eastAsiaTheme="minorHAnsi" w:hAnsi="Arial" w:cs="Arial"/>
          <w:kern w:val="2"/>
          <w:lang w:val="es-MX"/>
          <w14:ligatures w14:val="standardContextual"/>
        </w:rPr>
        <w:t>s posibles</w:t>
      </w:r>
      <w:r w:rsidRPr="00376AE3">
        <w:rPr>
          <w:rFonts w:ascii="Arial" w:eastAsiaTheme="minorHAnsi" w:hAnsi="Arial" w:cs="Arial"/>
          <w:kern w:val="2"/>
          <w:lang w:val="es-MX"/>
          <w14:ligatures w14:val="standardContextual"/>
        </w:rPr>
        <w:t xml:space="preserve"> oferente</w:t>
      </w:r>
      <w:r w:rsidR="00B00F57">
        <w:rPr>
          <w:rFonts w:ascii="Arial" w:eastAsiaTheme="minorHAnsi" w:hAnsi="Arial" w:cs="Arial"/>
          <w:kern w:val="2"/>
          <w:lang w:val="es-MX"/>
          <w14:ligatures w14:val="standardContextual"/>
        </w:rPr>
        <w:t>s</w:t>
      </w:r>
      <w:r w:rsidRPr="00376AE3">
        <w:rPr>
          <w:rFonts w:ascii="Arial" w:eastAsiaTheme="minorHAnsi" w:hAnsi="Arial" w:cs="Arial"/>
          <w:kern w:val="2"/>
          <w:lang w:val="es-MX"/>
          <w14:ligatures w14:val="standardContextual"/>
        </w:rPr>
        <w:t>, siendo esta</w:t>
      </w:r>
      <w:r w:rsidR="00B00F57">
        <w:rPr>
          <w:rFonts w:ascii="Arial" w:eastAsiaTheme="minorHAnsi" w:hAnsi="Arial" w:cs="Arial"/>
          <w:kern w:val="2"/>
          <w:lang w:val="es-MX"/>
          <w14:ligatures w14:val="standardContextual"/>
        </w:rPr>
        <w:t>s</w:t>
      </w:r>
      <w:r w:rsidR="00F8548D">
        <w:rPr>
          <w:rFonts w:ascii="Arial" w:eastAsiaTheme="minorHAnsi" w:hAnsi="Arial" w:cs="Arial"/>
          <w:kern w:val="2"/>
          <w:lang w:val="es-MX"/>
          <w14:ligatures w14:val="standardContextual"/>
        </w:rPr>
        <w:t xml:space="preserve"> la</w:t>
      </w:r>
      <w:r w:rsidR="00B00F57">
        <w:rPr>
          <w:rFonts w:ascii="Arial" w:eastAsiaTheme="minorHAnsi" w:hAnsi="Arial" w:cs="Arial"/>
          <w:kern w:val="2"/>
          <w:lang w:val="es-MX"/>
          <w14:ligatures w14:val="standardContextual"/>
        </w:rPr>
        <w:t>s</w:t>
      </w:r>
      <w:r w:rsidRPr="00376AE3">
        <w:rPr>
          <w:rFonts w:ascii="Arial" w:eastAsiaTheme="minorHAnsi" w:hAnsi="Arial" w:cs="Arial"/>
          <w:kern w:val="2"/>
          <w:lang w:val="es-MX"/>
          <w14:ligatures w14:val="standardContextual"/>
        </w:rPr>
        <w:t xml:space="preserve"> persona</w:t>
      </w:r>
      <w:r w:rsidR="00B00F57">
        <w:rPr>
          <w:rFonts w:ascii="Arial" w:eastAsiaTheme="minorHAnsi" w:hAnsi="Arial" w:cs="Arial"/>
          <w:kern w:val="2"/>
          <w:lang w:val="es-MX"/>
          <w14:ligatures w14:val="standardContextual"/>
        </w:rPr>
        <w:t>s</w:t>
      </w:r>
      <w:r w:rsidRPr="00376AE3">
        <w:rPr>
          <w:rFonts w:ascii="Arial" w:eastAsiaTheme="minorHAnsi" w:hAnsi="Arial" w:cs="Arial"/>
          <w:kern w:val="2"/>
          <w:lang w:val="es-MX"/>
          <w14:ligatures w14:val="standardContextual"/>
        </w:rPr>
        <w:t xml:space="preserve"> jurídica</w:t>
      </w:r>
      <w:r w:rsidR="00B00F57">
        <w:rPr>
          <w:rFonts w:ascii="Arial" w:eastAsiaTheme="minorHAnsi" w:hAnsi="Arial" w:cs="Arial"/>
          <w:kern w:val="2"/>
          <w:lang w:val="es-MX"/>
          <w14:ligatures w14:val="standardContextual"/>
        </w:rPr>
        <w:t>s</w:t>
      </w:r>
      <w:r w:rsidRPr="00376AE3">
        <w:rPr>
          <w:rFonts w:ascii="Arial" w:eastAsiaTheme="minorHAnsi" w:hAnsi="Arial" w:cs="Arial"/>
          <w:kern w:val="2"/>
          <w:lang w:val="es-MX"/>
          <w14:ligatures w14:val="standardContextual"/>
        </w:rPr>
        <w:t xml:space="preserve"> de Grandes Superficies:  </w:t>
      </w:r>
    </w:p>
    <w:p w14:paraId="4EBA079E" w14:textId="77777777" w:rsidR="00A97621" w:rsidRDefault="00A97621" w:rsidP="00BC1975">
      <w:pPr>
        <w:pStyle w:val="Textoindependiente"/>
        <w:spacing w:after="0" w:line="240" w:lineRule="auto"/>
        <w:jc w:val="both"/>
        <w:rPr>
          <w:rFonts w:ascii="Arial" w:hAnsi="Arial" w:cs="Arial"/>
        </w:rPr>
      </w:pPr>
    </w:p>
    <w:p w14:paraId="4BE58D06" w14:textId="3AF2F7B2" w:rsidR="00B00F57" w:rsidRDefault="006074EE" w:rsidP="006074EE">
      <w:pPr>
        <w:pStyle w:val="Textoindependiente"/>
        <w:numPr>
          <w:ilvl w:val="0"/>
          <w:numId w:val="33"/>
        </w:numPr>
        <w:spacing w:after="0" w:line="240" w:lineRule="auto"/>
        <w:jc w:val="both"/>
        <w:rPr>
          <w:rFonts w:ascii="Arial" w:hAnsi="Arial" w:cs="Arial"/>
        </w:rPr>
      </w:pPr>
      <w:r>
        <w:rPr>
          <w:rFonts w:ascii="Arial" w:hAnsi="Arial" w:cs="Arial"/>
        </w:rPr>
        <w:t>HAS LTDA</w:t>
      </w:r>
    </w:p>
    <w:p w14:paraId="74377D54" w14:textId="48D47A72" w:rsidR="00BC1975" w:rsidRPr="00376AE3" w:rsidRDefault="006074EE" w:rsidP="006074EE">
      <w:pPr>
        <w:pStyle w:val="Textoindependiente"/>
        <w:numPr>
          <w:ilvl w:val="0"/>
          <w:numId w:val="33"/>
        </w:numPr>
        <w:spacing w:after="0" w:line="240" w:lineRule="auto"/>
        <w:jc w:val="both"/>
        <w:rPr>
          <w:rFonts w:ascii="Arial" w:hAnsi="Arial" w:cs="Arial"/>
        </w:rPr>
      </w:pPr>
      <w:r>
        <w:rPr>
          <w:rFonts w:ascii="Arial" w:hAnsi="Arial" w:cs="Arial"/>
        </w:rPr>
        <w:t>PANAMERICANA</w:t>
      </w:r>
    </w:p>
    <w:p w14:paraId="19A21296" w14:textId="77777777" w:rsidR="00BC1975" w:rsidRPr="00376AE3" w:rsidRDefault="00BC1975" w:rsidP="00BC1975">
      <w:pPr>
        <w:pStyle w:val="Textoindependiente"/>
        <w:spacing w:after="0" w:line="240" w:lineRule="auto"/>
        <w:jc w:val="both"/>
        <w:rPr>
          <w:rFonts w:ascii="Arial" w:hAnsi="Arial" w:cs="Arial"/>
        </w:rPr>
      </w:pPr>
    </w:p>
    <w:p w14:paraId="300ACE39" w14:textId="04B7ABCD" w:rsidR="00760D87" w:rsidRPr="00376AE3" w:rsidRDefault="00760D87" w:rsidP="00517EB3">
      <w:pPr>
        <w:pStyle w:val="Textoindependiente"/>
        <w:spacing w:after="0" w:line="240" w:lineRule="auto"/>
        <w:jc w:val="both"/>
        <w:rPr>
          <w:rFonts w:ascii="Arial" w:hAnsi="Arial" w:cs="Arial"/>
          <w:bCs/>
        </w:rPr>
      </w:pPr>
      <w:r w:rsidRPr="00376AE3">
        <w:rPr>
          <w:rFonts w:ascii="Arial" w:hAnsi="Arial" w:cs="Arial"/>
          <w:bCs/>
        </w:rPr>
        <w:t>Estas estrategias buscan garantizar una compra efectiva que respond</w:t>
      </w:r>
      <w:r w:rsidR="00FE0764" w:rsidRPr="00376AE3">
        <w:rPr>
          <w:rFonts w:ascii="Arial" w:hAnsi="Arial" w:cs="Arial"/>
          <w:bCs/>
        </w:rPr>
        <w:t>e</w:t>
      </w:r>
      <w:r w:rsidRPr="00376AE3">
        <w:rPr>
          <w:rFonts w:ascii="Arial" w:hAnsi="Arial" w:cs="Arial"/>
          <w:bCs/>
        </w:rPr>
        <w:t xml:space="preserve"> a las necesidades funcionales del centro de convivencia, respetando los principios de planeación, economía, transparencia y responsabilidad que rigen la contratación pública. La implementación de estas estrategias también contribuirá a optimizar la inversión pública, asegurar la calidad del servicio y promover un entorno digno para los beneficiarios del centro.</w:t>
      </w:r>
    </w:p>
    <w:p w14:paraId="468E0765" w14:textId="77777777" w:rsidR="005C1C37" w:rsidRPr="00376AE3" w:rsidRDefault="005C1C37" w:rsidP="00517EB3">
      <w:pPr>
        <w:pStyle w:val="Textoindependiente"/>
        <w:spacing w:after="0" w:line="240" w:lineRule="auto"/>
        <w:jc w:val="both"/>
        <w:rPr>
          <w:rFonts w:ascii="Arial" w:hAnsi="Arial" w:cs="Arial"/>
          <w:bCs/>
        </w:rPr>
      </w:pPr>
    </w:p>
    <w:p w14:paraId="0919210A" w14:textId="77777777" w:rsidR="00D115AA" w:rsidRPr="00376AE3" w:rsidRDefault="00D115AA" w:rsidP="00517EB3">
      <w:pPr>
        <w:pStyle w:val="Textoindependiente"/>
        <w:spacing w:after="0" w:line="240" w:lineRule="auto"/>
        <w:jc w:val="both"/>
        <w:rPr>
          <w:rFonts w:ascii="Arial" w:hAnsi="Arial" w:cs="Arial"/>
          <w:bCs/>
        </w:rPr>
      </w:pPr>
    </w:p>
    <w:p w14:paraId="453AA2FC" w14:textId="3F89E7A6" w:rsidR="00F47837" w:rsidRPr="006074EE" w:rsidRDefault="00517EB3" w:rsidP="006074EE">
      <w:pPr>
        <w:spacing w:line="240" w:lineRule="auto"/>
        <w:jc w:val="both"/>
        <w:rPr>
          <w:rFonts w:ascii="Arial" w:eastAsiaTheme="minorHAnsi" w:hAnsi="Arial" w:cs="Arial"/>
          <w:b/>
          <w:bCs/>
        </w:rPr>
      </w:pPr>
      <w:r w:rsidRPr="006074EE">
        <w:rPr>
          <w:rFonts w:ascii="Arial" w:eastAsiaTheme="minorHAnsi" w:hAnsi="Arial" w:cs="Arial"/>
          <w:b/>
          <w:bCs/>
        </w:rPr>
        <w:t>EN CONCLUSIÓN</w:t>
      </w:r>
    </w:p>
    <w:p w14:paraId="52B4567B" w14:textId="7717A75A" w:rsidR="00664B73" w:rsidRPr="00376AE3" w:rsidRDefault="00D115AA" w:rsidP="006074EE">
      <w:pPr>
        <w:spacing w:line="240" w:lineRule="auto"/>
        <w:jc w:val="both"/>
        <w:rPr>
          <w:rFonts w:ascii="Arial" w:eastAsiaTheme="minorHAnsi" w:hAnsi="Arial" w:cs="Arial"/>
        </w:rPr>
      </w:pPr>
      <w:r w:rsidRPr="00376AE3">
        <w:rPr>
          <w:rFonts w:ascii="Arial" w:eastAsiaTheme="minorHAnsi" w:hAnsi="Arial" w:cs="Arial"/>
        </w:rPr>
        <w:t xml:space="preserve">El análisis del sector para la contratación de </w:t>
      </w:r>
      <w:r w:rsidR="006074EE">
        <w:rPr>
          <w:rFonts w:ascii="Arial" w:eastAsiaTheme="minorHAnsi" w:hAnsi="Arial" w:cs="Arial"/>
        </w:rPr>
        <w:t xml:space="preserve">EQUIPOS DE COMPUTO para el funcionamiento de la Tienda </w:t>
      </w:r>
      <w:proofErr w:type="spellStart"/>
      <w:r w:rsidR="006074EE">
        <w:rPr>
          <w:rFonts w:ascii="Arial" w:eastAsiaTheme="minorHAnsi" w:hAnsi="Arial" w:cs="Arial"/>
        </w:rPr>
        <w:t>Zajuna</w:t>
      </w:r>
      <w:proofErr w:type="spellEnd"/>
      <w:r w:rsidR="006074EE">
        <w:rPr>
          <w:rFonts w:ascii="Arial" w:eastAsiaTheme="minorHAnsi" w:hAnsi="Arial" w:cs="Arial"/>
        </w:rPr>
        <w:t xml:space="preserve"> Campo de Carretera</w:t>
      </w:r>
      <w:r w:rsidR="00395B4F" w:rsidRPr="00376AE3">
        <w:rPr>
          <w:rFonts w:ascii="Arial" w:eastAsiaTheme="minorHAnsi" w:hAnsi="Arial" w:cs="Arial"/>
        </w:rPr>
        <w:t xml:space="preserve"> representa</w:t>
      </w:r>
      <w:r w:rsidR="00B8446B" w:rsidRPr="00376AE3">
        <w:rPr>
          <w:rFonts w:ascii="Arial" w:eastAsiaTheme="minorHAnsi" w:hAnsi="Arial" w:cs="Arial"/>
        </w:rPr>
        <w:t xml:space="preserve"> </w:t>
      </w:r>
      <w:r w:rsidR="0059639A" w:rsidRPr="00376AE3">
        <w:rPr>
          <w:rFonts w:ascii="Arial" w:eastAsiaTheme="minorHAnsi" w:hAnsi="Arial" w:cs="Arial"/>
        </w:rPr>
        <w:t>una acción estratégica clave</w:t>
      </w:r>
      <w:r w:rsidR="00B8446B" w:rsidRPr="00376AE3">
        <w:rPr>
          <w:rFonts w:ascii="Arial" w:eastAsiaTheme="minorHAnsi" w:hAnsi="Arial" w:cs="Arial"/>
        </w:rPr>
        <w:t xml:space="preserve"> para garantizar el correcto funcionamiento</w:t>
      </w:r>
      <w:r w:rsidR="006074EE">
        <w:rPr>
          <w:rFonts w:ascii="Arial" w:eastAsiaTheme="minorHAnsi" w:hAnsi="Arial" w:cs="Arial"/>
        </w:rPr>
        <w:t xml:space="preserve"> </w:t>
      </w:r>
      <w:r w:rsidR="006074EE">
        <w:rPr>
          <w:rFonts w:ascii="Arial" w:eastAsiaTheme="minorHAnsi" w:hAnsi="Arial" w:cs="Arial"/>
        </w:rPr>
        <w:t>operativo y administrativo</w:t>
      </w:r>
      <w:r w:rsidR="006074EE">
        <w:rPr>
          <w:rFonts w:ascii="Arial" w:eastAsiaTheme="minorHAnsi" w:hAnsi="Arial" w:cs="Arial"/>
        </w:rPr>
        <w:t xml:space="preserve"> de la Tienda</w:t>
      </w:r>
      <w:r w:rsidR="006074EE" w:rsidRPr="006074EE">
        <w:rPr>
          <w:rFonts w:ascii="Arial" w:eastAsiaTheme="minorHAnsi" w:hAnsi="Arial" w:cs="Arial"/>
        </w:rPr>
        <w:t>, resulta</w:t>
      </w:r>
      <w:r w:rsidR="006074EE">
        <w:rPr>
          <w:rFonts w:ascii="Arial" w:eastAsiaTheme="minorHAnsi" w:hAnsi="Arial" w:cs="Arial"/>
        </w:rPr>
        <w:t>ndo</w:t>
      </w:r>
      <w:r w:rsidR="006074EE" w:rsidRPr="006074EE">
        <w:rPr>
          <w:rFonts w:ascii="Arial" w:eastAsiaTheme="minorHAnsi" w:hAnsi="Arial" w:cs="Arial"/>
        </w:rPr>
        <w:t xml:space="preserve"> necesario contar con la adquisición de equipos de cómputo e impresoras que permitan llevar el registro de las operaciones contables, financieras, inventarios, ventas y demás registros indispensables para la óptima operación de la Tienda, garantizando la ejecución de los diferentes procesos y brindando una atención oportuna y de calidad a los clientes externos e internos.  </w:t>
      </w:r>
    </w:p>
    <w:p w14:paraId="2C841DE5" w14:textId="4B2A5F90" w:rsidR="004813F1" w:rsidRPr="00376AE3" w:rsidRDefault="004813F1" w:rsidP="00734FC1">
      <w:pPr>
        <w:tabs>
          <w:tab w:val="left" w:pos="0"/>
          <w:tab w:val="left" w:pos="284"/>
        </w:tabs>
        <w:spacing w:after="0" w:line="360" w:lineRule="auto"/>
        <w:jc w:val="both"/>
        <w:rPr>
          <w:rFonts w:ascii="Arial" w:hAnsi="Arial" w:cs="Arial"/>
        </w:rPr>
      </w:pPr>
      <w:bookmarkStart w:id="6" w:name="_Hlk163574482"/>
      <w:bookmarkEnd w:id="5"/>
      <w:r w:rsidRPr="00376AE3">
        <w:rPr>
          <w:rFonts w:ascii="Arial" w:hAnsi="Arial" w:cs="Arial"/>
        </w:rPr>
        <w:t xml:space="preserve">Dado en el Espinal, en el mes </w:t>
      </w:r>
      <w:r w:rsidR="00CD78AF" w:rsidRPr="00376AE3">
        <w:rPr>
          <w:rFonts w:ascii="Arial" w:hAnsi="Arial" w:cs="Arial"/>
        </w:rPr>
        <w:t xml:space="preserve">de </w:t>
      </w:r>
      <w:r w:rsidR="006074EE">
        <w:rPr>
          <w:rFonts w:ascii="Arial" w:hAnsi="Arial" w:cs="Arial"/>
        </w:rPr>
        <w:t>abril</w:t>
      </w:r>
      <w:r w:rsidR="00445B08" w:rsidRPr="00376AE3">
        <w:rPr>
          <w:rFonts w:ascii="Arial" w:hAnsi="Arial" w:cs="Arial"/>
        </w:rPr>
        <w:t xml:space="preserve"> </w:t>
      </w:r>
      <w:r w:rsidRPr="00376AE3">
        <w:rPr>
          <w:rFonts w:ascii="Arial" w:hAnsi="Arial" w:cs="Arial"/>
        </w:rPr>
        <w:t>de 202</w:t>
      </w:r>
      <w:r w:rsidR="006074EE">
        <w:rPr>
          <w:rFonts w:ascii="Arial" w:hAnsi="Arial" w:cs="Arial"/>
        </w:rPr>
        <w:t>6</w:t>
      </w:r>
      <w:r w:rsidRPr="00376AE3">
        <w:rPr>
          <w:rFonts w:ascii="Arial" w:hAnsi="Arial" w:cs="Arial"/>
        </w:rPr>
        <w:t>.</w:t>
      </w:r>
    </w:p>
    <w:p w14:paraId="2C5DF93C" w14:textId="0FBA09F7" w:rsidR="006F682F" w:rsidRPr="00376AE3" w:rsidRDefault="006F682F" w:rsidP="00734FC1">
      <w:pPr>
        <w:tabs>
          <w:tab w:val="left" w:pos="0"/>
          <w:tab w:val="left" w:pos="284"/>
        </w:tabs>
        <w:spacing w:after="0" w:line="360" w:lineRule="auto"/>
        <w:jc w:val="both"/>
        <w:rPr>
          <w:rFonts w:ascii="Arial" w:hAnsi="Arial" w:cs="Arial"/>
        </w:rPr>
      </w:pPr>
    </w:p>
    <w:bookmarkEnd w:id="6"/>
    <w:p w14:paraId="02C7DE43" w14:textId="09B3886D" w:rsidR="0012518B" w:rsidRPr="00376AE3" w:rsidRDefault="00B42836" w:rsidP="00734FC1">
      <w:pPr>
        <w:spacing w:after="0" w:line="360" w:lineRule="auto"/>
        <w:jc w:val="both"/>
        <w:rPr>
          <w:rFonts w:ascii="Arial" w:hAnsi="Arial" w:cs="Arial"/>
        </w:rPr>
      </w:pPr>
      <w:r w:rsidRPr="00376AE3">
        <w:rPr>
          <w:rFonts w:ascii="Arial" w:hAnsi="Arial" w:cs="Arial"/>
        </w:rPr>
        <w:t>Cordialmente</w:t>
      </w:r>
      <w:r w:rsidR="004813F1" w:rsidRPr="00376AE3">
        <w:rPr>
          <w:rFonts w:ascii="Arial" w:hAnsi="Arial" w:cs="Arial"/>
        </w:rPr>
        <w:t>,</w:t>
      </w:r>
    </w:p>
    <w:p w14:paraId="275FCF2C" w14:textId="50F35AE0" w:rsidR="00BC6565" w:rsidRDefault="001D0124" w:rsidP="003F2AA5">
      <w:pPr>
        <w:spacing w:after="0" w:line="360" w:lineRule="auto"/>
        <w:jc w:val="both"/>
        <w:rPr>
          <w:rFonts w:ascii="Arial" w:hAnsi="Arial" w:cs="Arial"/>
        </w:rPr>
      </w:pPr>
      <w:r w:rsidRPr="00376AE3">
        <w:rPr>
          <w:rFonts w:ascii="Arial" w:hAnsi="Arial" w:cs="Arial"/>
        </w:rPr>
        <w:t xml:space="preserve"> </w:t>
      </w:r>
    </w:p>
    <w:p w14:paraId="2CCF9639" w14:textId="77777777" w:rsidR="00024B15" w:rsidRPr="00376AE3" w:rsidRDefault="00024B15" w:rsidP="003F2AA5">
      <w:pPr>
        <w:spacing w:after="0" w:line="360" w:lineRule="auto"/>
        <w:jc w:val="both"/>
        <w:rPr>
          <w:rFonts w:ascii="Arial" w:hAnsi="Arial" w:cs="Arial"/>
        </w:rPr>
      </w:pPr>
    </w:p>
    <w:p w14:paraId="6A602029" w14:textId="11A13DEA" w:rsidR="006074EE" w:rsidRDefault="006074EE" w:rsidP="008B0E2B">
      <w:pPr>
        <w:spacing w:after="0" w:line="240" w:lineRule="auto"/>
        <w:jc w:val="center"/>
        <w:rPr>
          <w:rFonts w:ascii="Arial" w:hAnsi="Arial" w:cs="Arial"/>
        </w:rPr>
      </w:pPr>
      <w:r>
        <w:rPr>
          <w:rFonts w:ascii="Arial" w:hAnsi="Arial" w:cs="Arial"/>
        </w:rPr>
        <w:t>CARLOS ALBERTO CERVERA GONZÁLEZ</w:t>
      </w:r>
    </w:p>
    <w:p w14:paraId="2A3F4CD6" w14:textId="4135B8A5" w:rsidR="00144B19" w:rsidRDefault="00144B19" w:rsidP="00144B19">
      <w:pPr>
        <w:spacing w:after="0" w:line="240" w:lineRule="auto"/>
        <w:jc w:val="center"/>
        <w:rPr>
          <w:rFonts w:ascii="Arial" w:hAnsi="Arial" w:cs="Arial"/>
        </w:rPr>
      </w:pPr>
      <w:r w:rsidRPr="00144B19">
        <w:rPr>
          <w:rFonts w:ascii="Arial" w:hAnsi="Arial" w:cs="Arial"/>
        </w:rPr>
        <w:t>Profesional G08</w:t>
      </w:r>
      <w:r w:rsidR="008B0E2B" w:rsidRPr="00376AE3">
        <w:rPr>
          <w:rFonts w:ascii="Arial" w:hAnsi="Arial" w:cs="Arial"/>
        </w:rPr>
        <w:t xml:space="preserve"> </w:t>
      </w:r>
    </w:p>
    <w:p w14:paraId="42D9E9FC" w14:textId="146CBA99" w:rsidR="008B0E2B" w:rsidRPr="00376AE3" w:rsidRDefault="008B0E2B" w:rsidP="00144B19">
      <w:pPr>
        <w:spacing w:after="0" w:line="240" w:lineRule="auto"/>
        <w:jc w:val="center"/>
        <w:rPr>
          <w:rFonts w:ascii="Arial" w:hAnsi="Arial" w:cs="Arial"/>
        </w:rPr>
      </w:pPr>
      <w:r w:rsidRPr="00376AE3">
        <w:rPr>
          <w:rFonts w:ascii="Arial" w:hAnsi="Arial" w:cs="Arial"/>
        </w:rPr>
        <w:t>Centro Agropecuario La Granja – El Espinal</w:t>
      </w:r>
    </w:p>
    <w:p w14:paraId="3CF2459C" w14:textId="77777777" w:rsidR="008B0E2B" w:rsidRPr="00376AE3" w:rsidRDefault="008B0E2B" w:rsidP="008B0E2B">
      <w:pPr>
        <w:spacing w:after="0" w:line="240" w:lineRule="auto"/>
        <w:jc w:val="center"/>
        <w:rPr>
          <w:rFonts w:ascii="Arial" w:hAnsi="Arial" w:cs="Arial"/>
        </w:rPr>
      </w:pPr>
      <w:r w:rsidRPr="00376AE3">
        <w:rPr>
          <w:rFonts w:ascii="Arial" w:hAnsi="Arial" w:cs="Arial"/>
        </w:rPr>
        <w:t>SENA Regional Tolima</w:t>
      </w:r>
    </w:p>
    <w:p w14:paraId="0F363BAF" w14:textId="0B70B7A8" w:rsidR="008B0E2B" w:rsidRPr="00376AE3" w:rsidRDefault="008B0E2B" w:rsidP="003F2AA5">
      <w:pPr>
        <w:spacing w:after="0" w:line="360" w:lineRule="auto"/>
        <w:jc w:val="both"/>
        <w:rPr>
          <w:rFonts w:ascii="Arial" w:hAnsi="Arial" w:cs="Arial"/>
        </w:rPr>
      </w:pPr>
    </w:p>
    <w:p w14:paraId="210DECF7" w14:textId="009DF762" w:rsidR="00DE6017" w:rsidRPr="00376AE3" w:rsidRDefault="00DE6017" w:rsidP="00DE6017">
      <w:pPr>
        <w:spacing w:after="0" w:line="240" w:lineRule="auto"/>
        <w:rPr>
          <w:rFonts w:ascii="Arial" w:hAnsi="Arial" w:cs="Arial"/>
        </w:rPr>
      </w:pPr>
    </w:p>
    <w:p w14:paraId="2E488198" w14:textId="47282006" w:rsidR="00DE6017" w:rsidRPr="00FE15B0" w:rsidRDefault="00144B19" w:rsidP="00DE6017">
      <w:pPr>
        <w:spacing w:after="0" w:line="240" w:lineRule="auto"/>
        <w:rPr>
          <w:rFonts w:ascii="Arial" w:hAnsi="Arial" w:cs="Arial"/>
          <w:sz w:val="18"/>
          <w:szCs w:val="18"/>
        </w:rPr>
      </w:pPr>
      <w:r w:rsidRPr="00F30431">
        <w:rPr>
          <w:noProof/>
        </w:rPr>
        <w:drawing>
          <wp:anchor distT="0" distB="0" distL="114300" distR="114300" simplePos="0" relativeHeight="251659264" behindDoc="0" locked="0" layoutInCell="1" hidden="0" allowOverlap="1" wp14:anchorId="6E4985FF" wp14:editId="5F0EDB1D">
            <wp:simplePos x="0" y="0"/>
            <wp:positionH relativeFrom="column">
              <wp:posOffset>3400425</wp:posOffset>
            </wp:positionH>
            <wp:positionV relativeFrom="paragraph">
              <wp:posOffset>10795</wp:posOffset>
            </wp:positionV>
            <wp:extent cx="514350" cy="238125"/>
            <wp:effectExtent l="0" t="0" r="0" b="952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4"/>
                    <a:srcRect/>
                    <a:stretch>
                      <a:fillRect/>
                    </a:stretch>
                  </pic:blipFill>
                  <pic:spPr>
                    <a:xfrm>
                      <a:off x="0" y="0"/>
                      <a:ext cx="514350" cy="238125"/>
                    </a:xfrm>
                    <a:prstGeom prst="rect">
                      <a:avLst/>
                    </a:prstGeom>
                    <a:ln/>
                  </pic:spPr>
                </pic:pic>
              </a:graphicData>
            </a:graphic>
            <wp14:sizeRelH relativeFrom="margin">
              <wp14:pctWidth>0</wp14:pctWidth>
            </wp14:sizeRelH>
            <wp14:sizeRelV relativeFrom="margin">
              <wp14:pctHeight>0</wp14:pctHeight>
            </wp14:sizeRelV>
          </wp:anchor>
        </w:drawing>
      </w:r>
      <w:r w:rsidR="00DE6017" w:rsidRPr="00FE15B0">
        <w:rPr>
          <w:rFonts w:ascii="Arial" w:hAnsi="Arial" w:cs="Arial"/>
          <w:i/>
          <w:iCs/>
          <w:sz w:val="18"/>
          <w:szCs w:val="18"/>
        </w:rPr>
        <w:t xml:space="preserve">Proyectó: </w:t>
      </w:r>
      <w:r w:rsidR="006074EE">
        <w:rPr>
          <w:rFonts w:ascii="Arial" w:hAnsi="Arial" w:cs="Arial"/>
          <w:i/>
          <w:iCs/>
          <w:sz w:val="18"/>
          <w:szCs w:val="18"/>
        </w:rPr>
        <w:t>Leonardo Bonilla Tello</w:t>
      </w:r>
      <w:r w:rsidR="00DE6017" w:rsidRPr="00FE15B0">
        <w:rPr>
          <w:rFonts w:ascii="Arial" w:hAnsi="Arial" w:cs="Arial"/>
          <w:i/>
          <w:iCs/>
          <w:sz w:val="18"/>
          <w:szCs w:val="18"/>
        </w:rPr>
        <w:t xml:space="preserve">: – </w:t>
      </w:r>
      <w:r w:rsidR="006074EE">
        <w:rPr>
          <w:rFonts w:ascii="Arial" w:hAnsi="Arial" w:cs="Arial"/>
          <w:i/>
          <w:iCs/>
          <w:sz w:val="18"/>
          <w:szCs w:val="18"/>
        </w:rPr>
        <w:t xml:space="preserve">Administrador Tienda </w:t>
      </w:r>
      <w:proofErr w:type="spellStart"/>
      <w:r w:rsidR="006074EE">
        <w:rPr>
          <w:rFonts w:ascii="Arial" w:hAnsi="Arial" w:cs="Arial"/>
          <w:i/>
          <w:iCs/>
          <w:sz w:val="18"/>
          <w:szCs w:val="18"/>
        </w:rPr>
        <w:t>Zajuna</w:t>
      </w:r>
      <w:proofErr w:type="spellEnd"/>
      <w:r>
        <w:rPr>
          <w:rFonts w:ascii="Arial" w:hAnsi="Arial" w:cs="Arial"/>
          <w:i/>
          <w:iCs/>
          <w:sz w:val="18"/>
          <w:szCs w:val="18"/>
        </w:rPr>
        <w:t xml:space="preserve"> </w:t>
      </w:r>
    </w:p>
    <w:p w14:paraId="182B85DD" w14:textId="710A5402" w:rsidR="0096514E" w:rsidRPr="00376AE3" w:rsidRDefault="0096514E" w:rsidP="00BC6565">
      <w:pPr>
        <w:spacing w:after="0" w:line="360" w:lineRule="auto"/>
        <w:jc w:val="both"/>
        <w:rPr>
          <w:rFonts w:ascii="Arial" w:hAnsi="Arial" w:cs="Arial"/>
          <w:i/>
          <w:iCs/>
        </w:rPr>
      </w:pPr>
    </w:p>
    <w:sectPr w:rsidR="0096514E" w:rsidRPr="00376AE3" w:rsidSect="008C74C9">
      <w:headerReference w:type="default" r:id="rId15"/>
      <w:footerReference w:type="default" r:id="rId16"/>
      <w:pgSz w:w="12240" w:h="15840" w:code="1"/>
      <w:pgMar w:top="1440" w:right="1440" w:bottom="1440" w:left="1440" w:header="227"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9CDE6" w14:textId="77777777" w:rsidR="00A2551A" w:rsidRDefault="00A2551A" w:rsidP="00456594">
      <w:pPr>
        <w:spacing w:after="0" w:line="240" w:lineRule="auto"/>
      </w:pPr>
      <w:r>
        <w:separator/>
      </w:r>
    </w:p>
  </w:endnote>
  <w:endnote w:type="continuationSeparator" w:id="0">
    <w:p w14:paraId="5329BE20" w14:textId="77777777" w:rsidR="00A2551A" w:rsidRDefault="00A2551A" w:rsidP="00456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5E742" w14:textId="4F2E815A" w:rsidR="004D03F6" w:rsidRDefault="0012518B">
    <w:r w:rsidRPr="00913B70">
      <w:rPr>
        <w:noProof/>
      </w:rPr>
      <w:drawing>
        <wp:anchor distT="0" distB="0" distL="114300" distR="114300" simplePos="0" relativeHeight="251659264" behindDoc="0" locked="0" layoutInCell="1" allowOverlap="1" wp14:anchorId="6A52902D" wp14:editId="277BE7DA">
          <wp:simplePos x="0" y="0"/>
          <wp:positionH relativeFrom="margin">
            <wp:align>center</wp:align>
          </wp:positionH>
          <wp:positionV relativeFrom="paragraph">
            <wp:posOffset>-472440</wp:posOffset>
          </wp:positionV>
          <wp:extent cx="4076700" cy="775970"/>
          <wp:effectExtent l="0" t="0" r="0" b="0"/>
          <wp:wrapNone/>
          <wp:docPr id="719245541" name="Imagen 719245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r="27359"/>
                  <a:stretch>
                    <a:fillRect/>
                  </a:stretch>
                </pic:blipFill>
                <pic:spPr bwMode="auto">
                  <a:xfrm>
                    <a:off x="0" y="0"/>
                    <a:ext cx="4076700" cy="775970"/>
                  </a:xfrm>
                  <a:prstGeom prst="rect">
                    <a:avLst/>
                  </a:prstGeom>
                  <a:noFill/>
                  <a:ln>
                    <a:noFill/>
                  </a:ln>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72125" w14:textId="77777777" w:rsidR="00A2551A" w:rsidRDefault="00A2551A" w:rsidP="00456594">
      <w:pPr>
        <w:spacing w:after="0" w:line="240" w:lineRule="auto"/>
      </w:pPr>
      <w:r>
        <w:separator/>
      </w:r>
    </w:p>
  </w:footnote>
  <w:footnote w:type="continuationSeparator" w:id="0">
    <w:p w14:paraId="4799AACC" w14:textId="77777777" w:rsidR="00A2551A" w:rsidRDefault="00A2551A" w:rsidP="004565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C36AB" w14:textId="7FFAAD3B" w:rsidR="008C74C9" w:rsidRDefault="008C74C9" w:rsidP="0012518B">
    <w:pPr>
      <w:tabs>
        <w:tab w:val="left" w:pos="911"/>
      </w:tabs>
    </w:pPr>
    <w:r>
      <w:rPr>
        <w:noProof/>
      </w:rPr>
      <w:drawing>
        <wp:anchor distT="0" distB="0" distL="114300" distR="114300" simplePos="0" relativeHeight="251658240" behindDoc="0" locked="0" layoutInCell="1" allowOverlap="1" wp14:anchorId="25FE5BB2" wp14:editId="3F130844">
          <wp:simplePos x="0" y="0"/>
          <wp:positionH relativeFrom="margin">
            <wp:align>center</wp:align>
          </wp:positionH>
          <wp:positionV relativeFrom="paragraph">
            <wp:posOffset>7399</wp:posOffset>
          </wp:positionV>
          <wp:extent cx="762000" cy="701040"/>
          <wp:effectExtent l="0" t="0" r="0" b="3810"/>
          <wp:wrapNone/>
          <wp:docPr id="1056738294" name="Imagen 1056738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86310"/>
                  <a:stretch>
                    <a:fillRect/>
                  </a:stretch>
                </pic:blipFill>
                <pic:spPr bwMode="auto">
                  <a:xfrm>
                    <a:off x="0" y="0"/>
                    <a:ext cx="762000" cy="70104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p>
  <w:p w14:paraId="0ADA8F33" w14:textId="5FB36370" w:rsidR="004D03F6" w:rsidRDefault="004D03F6" w:rsidP="0012518B">
    <w:pPr>
      <w:tabs>
        <w:tab w:val="left" w:pos="91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A18BD"/>
    <w:multiLevelType w:val="hybridMultilevel"/>
    <w:tmpl w:val="A0D463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F64E8C"/>
    <w:multiLevelType w:val="hybridMultilevel"/>
    <w:tmpl w:val="2028F00A"/>
    <w:lvl w:ilvl="0" w:tplc="D0586F06">
      <w:start w:val="2"/>
      <w:numFmt w:val="decimal"/>
      <w:lvlText w:val="%1.1.2"/>
      <w:lvlJc w:val="left"/>
      <w:pPr>
        <w:ind w:left="36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4C3712"/>
    <w:multiLevelType w:val="hybridMultilevel"/>
    <w:tmpl w:val="D3B2DEDE"/>
    <w:lvl w:ilvl="0" w:tplc="F4C865BE">
      <w:start w:val="5"/>
      <w:numFmt w:val="decimal"/>
      <w:lvlText w:val="%1.4"/>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A125C7F"/>
    <w:multiLevelType w:val="hybridMultilevel"/>
    <w:tmpl w:val="DF6006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A13122B"/>
    <w:multiLevelType w:val="hybridMultilevel"/>
    <w:tmpl w:val="62A4C9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EBC5B33"/>
    <w:multiLevelType w:val="multilevel"/>
    <w:tmpl w:val="BBA8B4C2"/>
    <w:lvl w:ilvl="0">
      <w:start w:val="2"/>
      <w:numFmt w:val="decimal"/>
      <w:pStyle w:val="Ttulo1"/>
      <w:lvlText w:val="%1."/>
      <w:lvlJc w:val="left"/>
      <w:pPr>
        <w:tabs>
          <w:tab w:val="num" w:pos="720"/>
        </w:tabs>
        <w:ind w:left="720" w:hanging="720"/>
      </w:pPr>
      <w:rPr>
        <w:rFonts w:hint="default"/>
      </w:rPr>
    </w:lvl>
    <w:lvl w:ilvl="1">
      <w:start w:val="1"/>
      <w:numFmt w:val="decimal"/>
      <w:pStyle w:val="Ttulo2"/>
      <w:lvlText w:val="%2."/>
      <w:lvlJc w:val="left"/>
      <w:pPr>
        <w:tabs>
          <w:tab w:val="num" w:pos="1440"/>
        </w:tabs>
        <w:ind w:left="1440" w:hanging="720"/>
      </w:pPr>
      <w:rPr>
        <w:rFonts w:hint="default"/>
      </w:rPr>
    </w:lvl>
    <w:lvl w:ilvl="2">
      <w:start w:val="1"/>
      <w:numFmt w:val="decimal"/>
      <w:pStyle w:val="Ttulo3"/>
      <w:lvlText w:val="%3."/>
      <w:lvlJc w:val="left"/>
      <w:pPr>
        <w:tabs>
          <w:tab w:val="num" w:pos="2160"/>
        </w:tabs>
        <w:ind w:left="2160" w:hanging="720"/>
      </w:pPr>
      <w:rPr>
        <w:rFonts w:hint="default"/>
      </w:rPr>
    </w:lvl>
    <w:lvl w:ilvl="3">
      <w:start w:val="1"/>
      <w:numFmt w:val="decimal"/>
      <w:pStyle w:val="Ttulo4"/>
      <w:lvlText w:val="%4."/>
      <w:lvlJc w:val="left"/>
      <w:pPr>
        <w:tabs>
          <w:tab w:val="num" w:pos="2880"/>
        </w:tabs>
        <w:ind w:left="2880" w:hanging="720"/>
      </w:pPr>
      <w:rPr>
        <w:rFonts w:hint="default"/>
      </w:rPr>
    </w:lvl>
    <w:lvl w:ilvl="4">
      <w:start w:val="1"/>
      <w:numFmt w:val="decimal"/>
      <w:pStyle w:val="Ttulo5"/>
      <w:lvlText w:val="%5."/>
      <w:lvlJc w:val="left"/>
      <w:pPr>
        <w:tabs>
          <w:tab w:val="num" w:pos="3600"/>
        </w:tabs>
        <w:ind w:left="3600" w:hanging="720"/>
      </w:pPr>
      <w:rPr>
        <w:rFonts w:hint="default"/>
      </w:rPr>
    </w:lvl>
    <w:lvl w:ilvl="5">
      <w:start w:val="1"/>
      <w:numFmt w:val="decimal"/>
      <w:pStyle w:val="Ttulo6"/>
      <w:lvlText w:val="%6."/>
      <w:lvlJc w:val="left"/>
      <w:pPr>
        <w:tabs>
          <w:tab w:val="num" w:pos="4320"/>
        </w:tabs>
        <w:ind w:left="4320" w:hanging="720"/>
      </w:pPr>
      <w:rPr>
        <w:rFonts w:hint="default"/>
      </w:rPr>
    </w:lvl>
    <w:lvl w:ilvl="6">
      <w:start w:val="1"/>
      <w:numFmt w:val="decimal"/>
      <w:pStyle w:val="Ttulo7"/>
      <w:lvlText w:val="%7."/>
      <w:lvlJc w:val="left"/>
      <w:pPr>
        <w:tabs>
          <w:tab w:val="num" w:pos="5040"/>
        </w:tabs>
        <w:ind w:left="5040" w:hanging="720"/>
      </w:pPr>
      <w:rPr>
        <w:rFonts w:hint="default"/>
      </w:rPr>
    </w:lvl>
    <w:lvl w:ilvl="7">
      <w:start w:val="1"/>
      <w:numFmt w:val="decimal"/>
      <w:pStyle w:val="Ttulo8"/>
      <w:lvlText w:val="%8."/>
      <w:lvlJc w:val="left"/>
      <w:pPr>
        <w:tabs>
          <w:tab w:val="num" w:pos="5760"/>
        </w:tabs>
        <w:ind w:left="5760" w:hanging="720"/>
      </w:pPr>
      <w:rPr>
        <w:rFonts w:hint="default"/>
      </w:rPr>
    </w:lvl>
    <w:lvl w:ilvl="8">
      <w:start w:val="1"/>
      <w:numFmt w:val="decimal"/>
      <w:pStyle w:val="Ttulo9"/>
      <w:lvlText w:val="%9."/>
      <w:lvlJc w:val="left"/>
      <w:pPr>
        <w:tabs>
          <w:tab w:val="num" w:pos="6480"/>
        </w:tabs>
        <w:ind w:left="6480" w:hanging="720"/>
      </w:pPr>
      <w:rPr>
        <w:rFonts w:hint="default"/>
      </w:rPr>
    </w:lvl>
  </w:abstractNum>
  <w:abstractNum w:abstractNumId="6" w15:restartNumberingAfterBreak="0">
    <w:nsid w:val="23A53B83"/>
    <w:multiLevelType w:val="hybridMultilevel"/>
    <w:tmpl w:val="79CC275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25975384"/>
    <w:multiLevelType w:val="hybridMultilevel"/>
    <w:tmpl w:val="B178BEA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27870D2E"/>
    <w:multiLevelType w:val="hybridMultilevel"/>
    <w:tmpl w:val="89D086DE"/>
    <w:lvl w:ilvl="0" w:tplc="31E0B238">
      <w:start w:val="2"/>
      <w:numFmt w:val="decimal"/>
      <w:lvlText w:val="%1.1.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C097E2A"/>
    <w:multiLevelType w:val="hybridMultilevel"/>
    <w:tmpl w:val="4962C77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2D4C7FA7"/>
    <w:multiLevelType w:val="multilevel"/>
    <w:tmpl w:val="C62AE59E"/>
    <w:lvl w:ilvl="0">
      <w:start w:val="1"/>
      <w:numFmt w:val="decimal"/>
      <w:lvlText w:val="%1."/>
      <w:lvlJc w:val="left"/>
      <w:pPr>
        <w:ind w:left="360" w:hanging="360"/>
      </w:pPr>
      <w:rPr>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0CC44B3"/>
    <w:multiLevelType w:val="hybridMultilevel"/>
    <w:tmpl w:val="A352FF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14E425D"/>
    <w:multiLevelType w:val="hybridMultilevel"/>
    <w:tmpl w:val="68F01F6A"/>
    <w:lvl w:ilvl="0" w:tplc="66E03FFA">
      <w:start w:val="2"/>
      <w:numFmt w:val="decimal"/>
      <w:lvlText w:val="%1.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8CA512B"/>
    <w:multiLevelType w:val="hybridMultilevel"/>
    <w:tmpl w:val="6F6017BC"/>
    <w:lvl w:ilvl="0" w:tplc="240A0001">
      <w:start w:val="1"/>
      <w:numFmt w:val="bullet"/>
      <w:lvlText w:val=""/>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4" w15:restartNumberingAfterBreak="0">
    <w:nsid w:val="40F77819"/>
    <w:multiLevelType w:val="hybridMultilevel"/>
    <w:tmpl w:val="A9967F34"/>
    <w:lvl w:ilvl="0" w:tplc="30A6DDAC">
      <w:start w:val="5"/>
      <w:numFmt w:val="decimal"/>
      <w:lvlText w:val="%1.3"/>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5EA75C6"/>
    <w:multiLevelType w:val="hybridMultilevel"/>
    <w:tmpl w:val="6A0CEED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47B66327"/>
    <w:multiLevelType w:val="hybridMultilevel"/>
    <w:tmpl w:val="2B2CB2AC"/>
    <w:lvl w:ilvl="0" w:tplc="64F2F798">
      <w:start w:val="6"/>
      <w:numFmt w:val="decimal"/>
      <w:lvlText w:val="%1."/>
      <w:lvlJc w:val="left"/>
      <w:pPr>
        <w:ind w:left="360" w:hanging="360"/>
      </w:pPr>
      <w:rPr>
        <w:rFonts w:eastAsiaTheme="minorHAnsi"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493252A5"/>
    <w:multiLevelType w:val="hybridMultilevel"/>
    <w:tmpl w:val="A7285A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A1F485C"/>
    <w:multiLevelType w:val="hybridMultilevel"/>
    <w:tmpl w:val="5700309C"/>
    <w:lvl w:ilvl="0" w:tplc="5AB44868">
      <w:start w:val="2"/>
      <w:numFmt w:val="decimal"/>
      <w:lvlText w:val="%1.1.3"/>
      <w:lvlJc w:val="left"/>
      <w:pPr>
        <w:ind w:left="36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EFC4F76"/>
    <w:multiLevelType w:val="multilevel"/>
    <w:tmpl w:val="F0D6D3D2"/>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11A2BEE"/>
    <w:multiLevelType w:val="hybridMultilevel"/>
    <w:tmpl w:val="CBEA7798"/>
    <w:lvl w:ilvl="0" w:tplc="1E16B2FE">
      <w:start w:val="5"/>
      <w:numFmt w:val="decimal"/>
      <w:lvlText w:val="%1.2"/>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48B3082"/>
    <w:multiLevelType w:val="hybridMultilevel"/>
    <w:tmpl w:val="37CCD6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15:restartNumberingAfterBreak="0">
    <w:nsid w:val="58073DCC"/>
    <w:multiLevelType w:val="hybridMultilevel"/>
    <w:tmpl w:val="75C0AA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CD63C2B"/>
    <w:multiLevelType w:val="multilevel"/>
    <w:tmpl w:val="0EE4BB9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3D23FA"/>
    <w:multiLevelType w:val="hybridMultilevel"/>
    <w:tmpl w:val="0C8EF73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5E4E13FA"/>
    <w:multiLevelType w:val="hybridMultilevel"/>
    <w:tmpl w:val="3330379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15:restartNumberingAfterBreak="0">
    <w:nsid w:val="6412583A"/>
    <w:multiLevelType w:val="hybridMultilevel"/>
    <w:tmpl w:val="DBF25474"/>
    <w:lvl w:ilvl="0" w:tplc="51C452D8">
      <w:start w:val="5"/>
      <w:numFmt w:val="decimal"/>
      <w:lvlText w:val="%1.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7" w15:restartNumberingAfterBreak="0">
    <w:nsid w:val="66DE0EF6"/>
    <w:multiLevelType w:val="hybridMultilevel"/>
    <w:tmpl w:val="F9BEAF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B4576A4"/>
    <w:multiLevelType w:val="hybridMultilevel"/>
    <w:tmpl w:val="85EADB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EB97D98"/>
    <w:multiLevelType w:val="hybridMultilevel"/>
    <w:tmpl w:val="ABE639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03157D4"/>
    <w:multiLevelType w:val="hybridMultilevel"/>
    <w:tmpl w:val="5972FB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A393FF0"/>
    <w:multiLevelType w:val="hybridMultilevel"/>
    <w:tmpl w:val="C5A83F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FA00386"/>
    <w:multiLevelType w:val="hybridMultilevel"/>
    <w:tmpl w:val="89564F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553539805">
    <w:abstractNumId w:val="5"/>
  </w:num>
  <w:num w:numId="2" w16cid:durableId="1570187320">
    <w:abstractNumId w:val="7"/>
  </w:num>
  <w:num w:numId="3" w16cid:durableId="433550302">
    <w:abstractNumId w:val="29"/>
  </w:num>
  <w:num w:numId="4" w16cid:durableId="2044673715">
    <w:abstractNumId w:val="6"/>
  </w:num>
  <w:num w:numId="5" w16cid:durableId="101802919">
    <w:abstractNumId w:val="15"/>
  </w:num>
  <w:num w:numId="6" w16cid:durableId="287012639">
    <w:abstractNumId w:val="9"/>
  </w:num>
  <w:num w:numId="7" w16cid:durableId="74673428">
    <w:abstractNumId w:val="25"/>
  </w:num>
  <w:num w:numId="8" w16cid:durableId="1640964223">
    <w:abstractNumId w:val="24"/>
  </w:num>
  <w:num w:numId="9" w16cid:durableId="1192305152">
    <w:abstractNumId w:val="32"/>
  </w:num>
  <w:num w:numId="10" w16cid:durableId="1280837276">
    <w:abstractNumId w:val="10"/>
  </w:num>
  <w:num w:numId="11" w16cid:durableId="89282149">
    <w:abstractNumId w:val="11"/>
  </w:num>
  <w:num w:numId="12" w16cid:durableId="1819034332">
    <w:abstractNumId w:val="12"/>
  </w:num>
  <w:num w:numId="13" w16cid:durableId="1333411387">
    <w:abstractNumId w:val="8"/>
  </w:num>
  <w:num w:numId="14" w16cid:durableId="1701280886">
    <w:abstractNumId w:val="1"/>
  </w:num>
  <w:num w:numId="15" w16cid:durableId="895045528">
    <w:abstractNumId w:val="18"/>
  </w:num>
  <w:num w:numId="16" w16cid:durableId="1172253844">
    <w:abstractNumId w:val="26"/>
  </w:num>
  <w:num w:numId="17" w16cid:durableId="542057606">
    <w:abstractNumId w:val="20"/>
  </w:num>
  <w:num w:numId="18" w16cid:durableId="838816450">
    <w:abstractNumId w:val="19"/>
  </w:num>
  <w:num w:numId="19" w16cid:durableId="1097750764">
    <w:abstractNumId w:val="23"/>
  </w:num>
  <w:num w:numId="20" w16cid:durableId="285891327">
    <w:abstractNumId w:val="14"/>
  </w:num>
  <w:num w:numId="21" w16cid:durableId="966661137">
    <w:abstractNumId w:val="2"/>
  </w:num>
  <w:num w:numId="22" w16cid:durableId="827090955">
    <w:abstractNumId w:val="16"/>
  </w:num>
  <w:num w:numId="23" w16cid:durableId="1556745562">
    <w:abstractNumId w:val="28"/>
  </w:num>
  <w:num w:numId="24" w16cid:durableId="86465676">
    <w:abstractNumId w:val="13"/>
  </w:num>
  <w:num w:numId="25" w16cid:durableId="384332272">
    <w:abstractNumId w:val="21"/>
  </w:num>
  <w:num w:numId="26" w16cid:durableId="435097679">
    <w:abstractNumId w:val="3"/>
  </w:num>
  <w:num w:numId="27" w16cid:durableId="1205562076">
    <w:abstractNumId w:val="22"/>
  </w:num>
  <w:num w:numId="28" w16cid:durableId="494297638">
    <w:abstractNumId w:val="4"/>
  </w:num>
  <w:num w:numId="29" w16cid:durableId="377902385">
    <w:abstractNumId w:val="31"/>
  </w:num>
  <w:num w:numId="30" w16cid:durableId="1604071542">
    <w:abstractNumId w:val="27"/>
  </w:num>
  <w:num w:numId="31" w16cid:durableId="1871407787">
    <w:abstractNumId w:val="0"/>
  </w:num>
  <w:num w:numId="32" w16cid:durableId="2128740560">
    <w:abstractNumId w:val="17"/>
  </w:num>
  <w:num w:numId="33" w16cid:durableId="1670714665">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594"/>
    <w:rsid w:val="0000469E"/>
    <w:rsid w:val="00011E54"/>
    <w:rsid w:val="00012E59"/>
    <w:rsid w:val="00017BE9"/>
    <w:rsid w:val="0002017A"/>
    <w:rsid w:val="00021DC2"/>
    <w:rsid w:val="00022ADF"/>
    <w:rsid w:val="00024058"/>
    <w:rsid w:val="00024B15"/>
    <w:rsid w:val="00030869"/>
    <w:rsid w:val="00033010"/>
    <w:rsid w:val="00035C8B"/>
    <w:rsid w:val="00040270"/>
    <w:rsid w:val="0004184C"/>
    <w:rsid w:val="00041919"/>
    <w:rsid w:val="00043664"/>
    <w:rsid w:val="00043C42"/>
    <w:rsid w:val="00044D48"/>
    <w:rsid w:val="00045331"/>
    <w:rsid w:val="0004787A"/>
    <w:rsid w:val="00053FBE"/>
    <w:rsid w:val="00055680"/>
    <w:rsid w:val="00056B7B"/>
    <w:rsid w:val="00060EE5"/>
    <w:rsid w:val="0006149F"/>
    <w:rsid w:val="000635CF"/>
    <w:rsid w:val="00063BDF"/>
    <w:rsid w:val="000642C7"/>
    <w:rsid w:val="00065551"/>
    <w:rsid w:val="00070E5B"/>
    <w:rsid w:val="00072DEA"/>
    <w:rsid w:val="00080607"/>
    <w:rsid w:val="00082652"/>
    <w:rsid w:val="00082B75"/>
    <w:rsid w:val="000838B2"/>
    <w:rsid w:val="0008466B"/>
    <w:rsid w:val="00084B05"/>
    <w:rsid w:val="000851E6"/>
    <w:rsid w:val="000875C4"/>
    <w:rsid w:val="000935E6"/>
    <w:rsid w:val="000959A5"/>
    <w:rsid w:val="00096876"/>
    <w:rsid w:val="000A4E41"/>
    <w:rsid w:val="000A54DC"/>
    <w:rsid w:val="000B0352"/>
    <w:rsid w:val="000B2C7F"/>
    <w:rsid w:val="000B3A4B"/>
    <w:rsid w:val="000B47A0"/>
    <w:rsid w:val="000B6216"/>
    <w:rsid w:val="000B6420"/>
    <w:rsid w:val="000B73B6"/>
    <w:rsid w:val="000B7845"/>
    <w:rsid w:val="000C11A4"/>
    <w:rsid w:val="000C3876"/>
    <w:rsid w:val="000C3B11"/>
    <w:rsid w:val="000C3C50"/>
    <w:rsid w:val="000C4738"/>
    <w:rsid w:val="000C68B6"/>
    <w:rsid w:val="000C6D53"/>
    <w:rsid w:val="000D00AE"/>
    <w:rsid w:val="000D0E67"/>
    <w:rsid w:val="000D1D8D"/>
    <w:rsid w:val="000D2ABB"/>
    <w:rsid w:val="000D3A15"/>
    <w:rsid w:val="000D7518"/>
    <w:rsid w:val="000E19E3"/>
    <w:rsid w:val="000E2318"/>
    <w:rsid w:val="000E55C5"/>
    <w:rsid w:val="000E5914"/>
    <w:rsid w:val="000F4AA2"/>
    <w:rsid w:val="000F6AC5"/>
    <w:rsid w:val="000F7BF0"/>
    <w:rsid w:val="001015C4"/>
    <w:rsid w:val="00102406"/>
    <w:rsid w:val="0011037A"/>
    <w:rsid w:val="0011109E"/>
    <w:rsid w:val="001122F9"/>
    <w:rsid w:val="00114BEC"/>
    <w:rsid w:val="00116EBE"/>
    <w:rsid w:val="00117307"/>
    <w:rsid w:val="001214C4"/>
    <w:rsid w:val="00122293"/>
    <w:rsid w:val="001230F5"/>
    <w:rsid w:val="0012518B"/>
    <w:rsid w:val="001262D9"/>
    <w:rsid w:val="00126EDD"/>
    <w:rsid w:val="00127047"/>
    <w:rsid w:val="00127DE6"/>
    <w:rsid w:val="00127E31"/>
    <w:rsid w:val="00132D29"/>
    <w:rsid w:val="00135985"/>
    <w:rsid w:val="00140691"/>
    <w:rsid w:val="00140B56"/>
    <w:rsid w:val="00141615"/>
    <w:rsid w:val="00144B19"/>
    <w:rsid w:val="001522EE"/>
    <w:rsid w:val="00155C0D"/>
    <w:rsid w:val="0016022F"/>
    <w:rsid w:val="00160C03"/>
    <w:rsid w:val="00160D10"/>
    <w:rsid w:val="0016533E"/>
    <w:rsid w:val="0016582E"/>
    <w:rsid w:val="001668E8"/>
    <w:rsid w:val="001671CA"/>
    <w:rsid w:val="001701DA"/>
    <w:rsid w:val="00172D07"/>
    <w:rsid w:val="0017434F"/>
    <w:rsid w:val="00177A93"/>
    <w:rsid w:val="00181D68"/>
    <w:rsid w:val="0018221D"/>
    <w:rsid w:val="00190163"/>
    <w:rsid w:val="0019500A"/>
    <w:rsid w:val="00195450"/>
    <w:rsid w:val="00195A77"/>
    <w:rsid w:val="001969A3"/>
    <w:rsid w:val="00196A1B"/>
    <w:rsid w:val="00196CFE"/>
    <w:rsid w:val="00197399"/>
    <w:rsid w:val="00197B24"/>
    <w:rsid w:val="001A1FBB"/>
    <w:rsid w:val="001A24DF"/>
    <w:rsid w:val="001A25AE"/>
    <w:rsid w:val="001A7414"/>
    <w:rsid w:val="001A788E"/>
    <w:rsid w:val="001B0B9C"/>
    <w:rsid w:val="001B2F5F"/>
    <w:rsid w:val="001B3FF8"/>
    <w:rsid w:val="001B4442"/>
    <w:rsid w:val="001B50B0"/>
    <w:rsid w:val="001B7F8A"/>
    <w:rsid w:val="001C0FC7"/>
    <w:rsid w:val="001C44AF"/>
    <w:rsid w:val="001C53E3"/>
    <w:rsid w:val="001C5E74"/>
    <w:rsid w:val="001C649F"/>
    <w:rsid w:val="001C6703"/>
    <w:rsid w:val="001C747A"/>
    <w:rsid w:val="001D0124"/>
    <w:rsid w:val="001D133F"/>
    <w:rsid w:val="001D1F13"/>
    <w:rsid w:val="001D274C"/>
    <w:rsid w:val="001D3E62"/>
    <w:rsid w:val="001D5370"/>
    <w:rsid w:val="001D5414"/>
    <w:rsid w:val="001D5938"/>
    <w:rsid w:val="001D7AE1"/>
    <w:rsid w:val="001E0793"/>
    <w:rsid w:val="001E188E"/>
    <w:rsid w:val="001E31F0"/>
    <w:rsid w:val="001E41CC"/>
    <w:rsid w:val="001E4B89"/>
    <w:rsid w:val="001F0A2F"/>
    <w:rsid w:val="001F226A"/>
    <w:rsid w:val="001F46EE"/>
    <w:rsid w:val="001F4BCF"/>
    <w:rsid w:val="001F54D2"/>
    <w:rsid w:val="002138B2"/>
    <w:rsid w:val="0021615C"/>
    <w:rsid w:val="00216EAA"/>
    <w:rsid w:val="00223617"/>
    <w:rsid w:val="00223B08"/>
    <w:rsid w:val="002258F1"/>
    <w:rsid w:val="00231494"/>
    <w:rsid w:val="00233EF3"/>
    <w:rsid w:val="00234C9D"/>
    <w:rsid w:val="00237FC2"/>
    <w:rsid w:val="00241DC7"/>
    <w:rsid w:val="002420AA"/>
    <w:rsid w:val="00246774"/>
    <w:rsid w:val="00247582"/>
    <w:rsid w:val="00250577"/>
    <w:rsid w:val="002518CF"/>
    <w:rsid w:val="00254A64"/>
    <w:rsid w:val="002567CD"/>
    <w:rsid w:val="00256919"/>
    <w:rsid w:val="002571E9"/>
    <w:rsid w:val="00263297"/>
    <w:rsid w:val="00264FD8"/>
    <w:rsid w:val="00265371"/>
    <w:rsid w:val="00272C5F"/>
    <w:rsid w:val="0027389E"/>
    <w:rsid w:val="00274AAF"/>
    <w:rsid w:val="002757CF"/>
    <w:rsid w:val="00276BF2"/>
    <w:rsid w:val="002802DE"/>
    <w:rsid w:val="00285F71"/>
    <w:rsid w:val="00290E21"/>
    <w:rsid w:val="00292B50"/>
    <w:rsid w:val="002A07F8"/>
    <w:rsid w:val="002A106B"/>
    <w:rsid w:val="002A2DF8"/>
    <w:rsid w:val="002A680F"/>
    <w:rsid w:val="002A6A7E"/>
    <w:rsid w:val="002B4A68"/>
    <w:rsid w:val="002B4C1B"/>
    <w:rsid w:val="002B726D"/>
    <w:rsid w:val="002C0BD5"/>
    <w:rsid w:val="002C487A"/>
    <w:rsid w:val="002C4B09"/>
    <w:rsid w:val="002D2AD8"/>
    <w:rsid w:val="002D43D5"/>
    <w:rsid w:val="002D52F0"/>
    <w:rsid w:val="002D605A"/>
    <w:rsid w:val="002D7DE8"/>
    <w:rsid w:val="002E562F"/>
    <w:rsid w:val="002E5AE6"/>
    <w:rsid w:val="002E619A"/>
    <w:rsid w:val="002E7BFF"/>
    <w:rsid w:val="002F2280"/>
    <w:rsid w:val="002F2552"/>
    <w:rsid w:val="002F3632"/>
    <w:rsid w:val="003011EC"/>
    <w:rsid w:val="00302318"/>
    <w:rsid w:val="0030295C"/>
    <w:rsid w:val="00305FC5"/>
    <w:rsid w:val="00306195"/>
    <w:rsid w:val="00306909"/>
    <w:rsid w:val="00310430"/>
    <w:rsid w:val="00310536"/>
    <w:rsid w:val="00316185"/>
    <w:rsid w:val="00316691"/>
    <w:rsid w:val="00316FB6"/>
    <w:rsid w:val="00324192"/>
    <w:rsid w:val="00324849"/>
    <w:rsid w:val="00331CA3"/>
    <w:rsid w:val="003332A1"/>
    <w:rsid w:val="00337777"/>
    <w:rsid w:val="00341BA4"/>
    <w:rsid w:val="00344AB3"/>
    <w:rsid w:val="0034621F"/>
    <w:rsid w:val="003465DA"/>
    <w:rsid w:val="003503CC"/>
    <w:rsid w:val="0035093F"/>
    <w:rsid w:val="003538B3"/>
    <w:rsid w:val="00357C6F"/>
    <w:rsid w:val="00361B32"/>
    <w:rsid w:val="003644B6"/>
    <w:rsid w:val="00367A25"/>
    <w:rsid w:val="00367FED"/>
    <w:rsid w:val="0037110D"/>
    <w:rsid w:val="00372958"/>
    <w:rsid w:val="00372B6D"/>
    <w:rsid w:val="00376AE3"/>
    <w:rsid w:val="00380337"/>
    <w:rsid w:val="00385615"/>
    <w:rsid w:val="00392AFD"/>
    <w:rsid w:val="00392B71"/>
    <w:rsid w:val="0039522B"/>
    <w:rsid w:val="003954BA"/>
    <w:rsid w:val="003955B6"/>
    <w:rsid w:val="00395B4F"/>
    <w:rsid w:val="0039683F"/>
    <w:rsid w:val="003A70BC"/>
    <w:rsid w:val="003B2990"/>
    <w:rsid w:val="003B4884"/>
    <w:rsid w:val="003B4997"/>
    <w:rsid w:val="003B4D92"/>
    <w:rsid w:val="003B5466"/>
    <w:rsid w:val="003B749A"/>
    <w:rsid w:val="003C248F"/>
    <w:rsid w:val="003D1990"/>
    <w:rsid w:val="003D3A2C"/>
    <w:rsid w:val="003D49CC"/>
    <w:rsid w:val="003D6447"/>
    <w:rsid w:val="003D7BB8"/>
    <w:rsid w:val="003E08F0"/>
    <w:rsid w:val="003E21E8"/>
    <w:rsid w:val="003E2C81"/>
    <w:rsid w:val="003E51EF"/>
    <w:rsid w:val="003E6B7F"/>
    <w:rsid w:val="003F0FFC"/>
    <w:rsid w:val="003F2AA5"/>
    <w:rsid w:val="003F5D66"/>
    <w:rsid w:val="004013E6"/>
    <w:rsid w:val="00403AD1"/>
    <w:rsid w:val="00406883"/>
    <w:rsid w:val="00414C69"/>
    <w:rsid w:val="004152B4"/>
    <w:rsid w:val="00416978"/>
    <w:rsid w:val="004207E3"/>
    <w:rsid w:val="0042643D"/>
    <w:rsid w:val="00431472"/>
    <w:rsid w:val="004314FF"/>
    <w:rsid w:val="00432BD9"/>
    <w:rsid w:val="00432C31"/>
    <w:rsid w:val="00436105"/>
    <w:rsid w:val="00441FCC"/>
    <w:rsid w:val="00445B08"/>
    <w:rsid w:val="00446697"/>
    <w:rsid w:val="00447BDA"/>
    <w:rsid w:val="004518A3"/>
    <w:rsid w:val="00452F4A"/>
    <w:rsid w:val="00453D9F"/>
    <w:rsid w:val="00456594"/>
    <w:rsid w:val="004623EC"/>
    <w:rsid w:val="00463898"/>
    <w:rsid w:val="004642DE"/>
    <w:rsid w:val="00464E00"/>
    <w:rsid w:val="00467989"/>
    <w:rsid w:val="00467B44"/>
    <w:rsid w:val="00470191"/>
    <w:rsid w:val="0047441B"/>
    <w:rsid w:val="00477FCC"/>
    <w:rsid w:val="00480747"/>
    <w:rsid w:val="004813F1"/>
    <w:rsid w:val="00487358"/>
    <w:rsid w:val="00491861"/>
    <w:rsid w:val="0049193F"/>
    <w:rsid w:val="00497803"/>
    <w:rsid w:val="004A299C"/>
    <w:rsid w:val="004A4572"/>
    <w:rsid w:val="004A5939"/>
    <w:rsid w:val="004C0740"/>
    <w:rsid w:val="004C169B"/>
    <w:rsid w:val="004C1FEF"/>
    <w:rsid w:val="004C475C"/>
    <w:rsid w:val="004C4DAF"/>
    <w:rsid w:val="004C5EAF"/>
    <w:rsid w:val="004C7ECB"/>
    <w:rsid w:val="004D0398"/>
    <w:rsid w:val="004D03F6"/>
    <w:rsid w:val="004D0E9C"/>
    <w:rsid w:val="004D30F3"/>
    <w:rsid w:val="004D5697"/>
    <w:rsid w:val="004D5896"/>
    <w:rsid w:val="004D71B1"/>
    <w:rsid w:val="004E1C89"/>
    <w:rsid w:val="004F3081"/>
    <w:rsid w:val="004F39B9"/>
    <w:rsid w:val="004F5040"/>
    <w:rsid w:val="004F5089"/>
    <w:rsid w:val="004F55C9"/>
    <w:rsid w:val="004F7ED0"/>
    <w:rsid w:val="00501F0F"/>
    <w:rsid w:val="00504E24"/>
    <w:rsid w:val="0051071B"/>
    <w:rsid w:val="00512392"/>
    <w:rsid w:val="00517D54"/>
    <w:rsid w:val="00517EB3"/>
    <w:rsid w:val="00520B61"/>
    <w:rsid w:val="005272DF"/>
    <w:rsid w:val="00527B18"/>
    <w:rsid w:val="00535FCB"/>
    <w:rsid w:val="005373C1"/>
    <w:rsid w:val="005418BD"/>
    <w:rsid w:val="0054192B"/>
    <w:rsid w:val="00541B8F"/>
    <w:rsid w:val="00543656"/>
    <w:rsid w:val="00543C89"/>
    <w:rsid w:val="005455E0"/>
    <w:rsid w:val="00551DF9"/>
    <w:rsid w:val="005531FA"/>
    <w:rsid w:val="00553FD6"/>
    <w:rsid w:val="00554080"/>
    <w:rsid w:val="005560FE"/>
    <w:rsid w:val="00556952"/>
    <w:rsid w:val="00557629"/>
    <w:rsid w:val="00557938"/>
    <w:rsid w:val="00557EFB"/>
    <w:rsid w:val="0056191E"/>
    <w:rsid w:val="005633B6"/>
    <w:rsid w:val="0056357C"/>
    <w:rsid w:val="00564893"/>
    <w:rsid w:val="00566FA9"/>
    <w:rsid w:val="00567CC4"/>
    <w:rsid w:val="005719D0"/>
    <w:rsid w:val="00572930"/>
    <w:rsid w:val="00572A81"/>
    <w:rsid w:val="00574A70"/>
    <w:rsid w:val="00576391"/>
    <w:rsid w:val="005814FB"/>
    <w:rsid w:val="00586199"/>
    <w:rsid w:val="00586870"/>
    <w:rsid w:val="005926E2"/>
    <w:rsid w:val="005958C7"/>
    <w:rsid w:val="0059639A"/>
    <w:rsid w:val="0059669F"/>
    <w:rsid w:val="00597E09"/>
    <w:rsid w:val="005A03BE"/>
    <w:rsid w:val="005A47E1"/>
    <w:rsid w:val="005A4ABC"/>
    <w:rsid w:val="005B0709"/>
    <w:rsid w:val="005B2A98"/>
    <w:rsid w:val="005B6B43"/>
    <w:rsid w:val="005C1578"/>
    <w:rsid w:val="005C18EE"/>
    <w:rsid w:val="005C1C37"/>
    <w:rsid w:val="005C58B9"/>
    <w:rsid w:val="005C7BD9"/>
    <w:rsid w:val="005D02AB"/>
    <w:rsid w:val="005D51D2"/>
    <w:rsid w:val="005E0052"/>
    <w:rsid w:val="005E04B1"/>
    <w:rsid w:val="005E09DC"/>
    <w:rsid w:val="005E6706"/>
    <w:rsid w:val="005E7128"/>
    <w:rsid w:val="005F03BD"/>
    <w:rsid w:val="005F241A"/>
    <w:rsid w:val="005F2600"/>
    <w:rsid w:val="005F3817"/>
    <w:rsid w:val="005F3826"/>
    <w:rsid w:val="005F3A77"/>
    <w:rsid w:val="00600E3F"/>
    <w:rsid w:val="006074EE"/>
    <w:rsid w:val="00611793"/>
    <w:rsid w:val="00612940"/>
    <w:rsid w:val="0061532A"/>
    <w:rsid w:val="006174DD"/>
    <w:rsid w:val="00617C31"/>
    <w:rsid w:val="00617C42"/>
    <w:rsid w:val="0062039C"/>
    <w:rsid w:val="00620C8A"/>
    <w:rsid w:val="00620DDC"/>
    <w:rsid w:val="0062147B"/>
    <w:rsid w:val="0062404E"/>
    <w:rsid w:val="0063167A"/>
    <w:rsid w:val="00635E38"/>
    <w:rsid w:val="0063790B"/>
    <w:rsid w:val="00637C1A"/>
    <w:rsid w:val="00637C2C"/>
    <w:rsid w:val="00640544"/>
    <w:rsid w:val="006408D4"/>
    <w:rsid w:val="006433A9"/>
    <w:rsid w:val="006454EE"/>
    <w:rsid w:val="006468DB"/>
    <w:rsid w:val="00647FB6"/>
    <w:rsid w:val="00650AF9"/>
    <w:rsid w:val="00650EDB"/>
    <w:rsid w:val="00654BE6"/>
    <w:rsid w:val="0065564A"/>
    <w:rsid w:val="00657BCD"/>
    <w:rsid w:val="00660EF5"/>
    <w:rsid w:val="00661E20"/>
    <w:rsid w:val="00663539"/>
    <w:rsid w:val="00664B73"/>
    <w:rsid w:val="0066510B"/>
    <w:rsid w:val="00665211"/>
    <w:rsid w:val="006663F2"/>
    <w:rsid w:val="00667C56"/>
    <w:rsid w:val="00670E99"/>
    <w:rsid w:val="006748E6"/>
    <w:rsid w:val="0067490D"/>
    <w:rsid w:val="00677ED6"/>
    <w:rsid w:val="006800A7"/>
    <w:rsid w:val="00680829"/>
    <w:rsid w:val="00684404"/>
    <w:rsid w:val="00685A73"/>
    <w:rsid w:val="00686140"/>
    <w:rsid w:val="00686D59"/>
    <w:rsid w:val="0069007A"/>
    <w:rsid w:val="00690ED0"/>
    <w:rsid w:val="006919EA"/>
    <w:rsid w:val="0069649B"/>
    <w:rsid w:val="006A4251"/>
    <w:rsid w:val="006A550B"/>
    <w:rsid w:val="006B00F2"/>
    <w:rsid w:val="006B1471"/>
    <w:rsid w:val="006B49E9"/>
    <w:rsid w:val="006B5001"/>
    <w:rsid w:val="006B5404"/>
    <w:rsid w:val="006B6DBA"/>
    <w:rsid w:val="006B733C"/>
    <w:rsid w:val="006B7CE5"/>
    <w:rsid w:val="006C11AE"/>
    <w:rsid w:val="006C18B7"/>
    <w:rsid w:val="006C580C"/>
    <w:rsid w:val="006C58DC"/>
    <w:rsid w:val="006C5A19"/>
    <w:rsid w:val="006C6C2A"/>
    <w:rsid w:val="006C7947"/>
    <w:rsid w:val="006D28C3"/>
    <w:rsid w:val="006D4221"/>
    <w:rsid w:val="006D641E"/>
    <w:rsid w:val="006D730F"/>
    <w:rsid w:val="006E014B"/>
    <w:rsid w:val="006E0A3E"/>
    <w:rsid w:val="006E1369"/>
    <w:rsid w:val="006E321B"/>
    <w:rsid w:val="006E456F"/>
    <w:rsid w:val="006E4B3C"/>
    <w:rsid w:val="006E7C3D"/>
    <w:rsid w:val="006F3C2B"/>
    <w:rsid w:val="006F682F"/>
    <w:rsid w:val="0070217D"/>
    <w:rsid w:val="00703AC1"/>
    <w:rsid w:val="00704879"/>
    <w:rsid w:val="0070508D"/>
    <w:rsid w:val="00710075"/>
    <w:rsid w:val="00713117"/>
    <w:rsid w:val="00715014"/>
    <w:rsid w:val="007175FA"/>
    <w:rsid w:val="00720539"/>
    <w:rsid w:val="00734FC1"/>
    <w:rsid w:val="007377A8"/>
    <w:rsid w:val="00743B0B"/>
    <w:rsid w:val="007453FC"/>
    <w:rsid w:val="0074697F"/>
    <w:rsid w:val="00752D85"/>
    <w:rsid w:val="00757491"/>
    <w:rsid w:val="00760D87"/>
    <w:rsid w:val="00763710"/>
    <w:rsid w:val="007669C5"/>
    <w:rsid w:val="0077216B"/>
    <w:rsid w:val="00772DAB"/>
    <w:rsid w:val="00773CD4"/>
    <w:rsid w:val="00776282"/>
    <w:rsid w:val="0077645C"/>
    <w:rsid w:val="00776645"/>
    <w:rsid w:val="0078388A"/>
    <w:rsid w:val="00784339"/>
    <w:rsid w:val="007856C8"/>
    <w:rsid w:val="00791ACA"/>
    <w:rsid w:val="0079469D"/>
    <w:rsid w:val="00794AEC"/>
    <w:rsid w:val="00796D1D"/>
    <w:rsid w:val="007A091E"/>
    <w:rsid w:val="007A31E8"/>
    <w:rsid w:val="007A7C74"/>
    <w:rsid w:val="007B1FE8"/>
    <w:rsid w:val="007B7A31"/>
    <w:rsid w:val="007C1087"/>
    <w:rsid w:val="007C16BF"/>
    <w:rsid w:val="007C6C5B"/>
    <w:rsid w:val="007C7D66"/>
    <w:rsid w:val="007D0786"/>
    <w:rsid w:val="007D4FA1"/>
    <w:rsid w:val="007E0AC6"/>
    <w:rsid w:val="007E26C2"/>
    <w:rsid w:val="007E5CD1"/>
    <w:rsid w:val="007E5E55"/>
    <w:rsid w:val="007E7F77"/>
    <w:rsid w:val="007F05A5"/>
    <w:rsid w:val="007F437B"/>
    <w:rsid w:val="0080607B"/>
    <w:rsid w:val="0080674A"/>
    <w:rsid w:val="00807A9C"/>
    <w:rsid w:val="008145B8"/>
    <w:rsid w:val="008156B7"/>
    <w:rsid w:val="00820C3B"/>
    <w:rsid w:val="008214EB"/>
    <w:rsid w:val="008216B1"/>
    <w:rsid w:val="008230AD"/>
    <w:rsid w:val="00826C23"/>
    <w:rsid w:val="008314BA"/>
    <w:rsid w:val="00831F23"/>
    <w:rsid w:val="00832163"/>
    <w:rsid w:val="00832F6D"/>
    <w:rsid w:val="00837E7B"/>
    <w:rsid w:val="0084116A"/>
    <w:rsid w:val="00841985"/>
    <w:rsid w:val="008426CE"/>
    <w:rsid w:val="00842763"/>
    <w:rsid w:val="00842E59"/>
    <w:rsid w:val="008433D5"/>
    <w:rsid w:val="0084609D"/>
    <w:rsid w:val="0084674A"/>
    <w:rsid w:val="00846E2A"/>
    <w:rsid w:val="0086165A"/>
    <w:rsid w:val="00863F42"/>
    <w:rsid w:val="00864A82"/>
    <w:rsid w:val="00865137"/>
    <w:rsid w:val="00866D2A"/>
    <w:rsid w:val="00867CFE"/>
    <w:rsid w:val="00872148"/>
    <w:rsid w:val="00881D95"/>
    <w:rsid w:val="008820E2"/>
    <w:rsid w:val="008835A0"/>
    <w:rsid w:val="008847D4"/>
    <w:rsid w:val="00884BF8"/>
    <w:rsid w:val="00885ACC"/>
    <w:rsid w:val="0088631F"/>
    <w:rsid w:val="00887B9E"/>
    <w:rsid w:val="00890EA1"/>
    <w:rsid w:val="008923DC"/>
    <w:rsid w:val="00892A85"/>
    <w:rsid w:val="00892A8B"/>
    <w:rsid w:val="00893197"/>
    <w:rsid w:val="0089357E"/>
    <w:rsid w:val="00894B3A"/>
    <w:rsid w:val="008972C3"/>
    <w:rsid w:val="008A61D9"/>
    <w:rsid w:val="008B0E2B"/>
    <w:rsid w:val="008C0B5F"/>
    <w:rsid w:val="008C18E1"/>
    <w:rsid w:val="008C2CA3"/>
    <w:rsid w:val="008C3386"/>
    <w:rsid w:val="008C465A"/>
    <w:rsid w:val="008C74C9"/>
    <w:rsid w:val="008C75EC"/>
    <w:rsid w:val="008D1F5F"/>
    <w:rsid w:val="008D2602"/>
    <w:rsid w:val="008D35D6"/>
    <w:rsid w:val="008D7345"/>
    <w:rsid w:val="008D75D4"/>
    <w:rsid w:val="008E4142"/>
    <w:rsid w:val="008E44B2"/>
    <w:rsid w:val="008E4565"/>
    <w:rsid w:val="008E5762"/>
    <w:rsid w:val="008E6964"/>
    <w:rsid w:val="008F2B6A"/>
    <w:rsid w:val="008F4696"/>
    <w:rsid w:val="00904590"/>
    <w:rsid w:val="00906625"/>
    <w:rsid w:val="009139DD"/>
    <w:rsid w:val="00913A8A"/>
    <w:rsid w:val="00916525"/>
    <w:rsid w:val="00916782"/>
    <w:rsid w:val="00924652"/>
    <w:rsid w:val="0092480B"/>
    <w:rsid w:val="00925445"/>
    <w:rsid w:val="00932419"/>
    <w:rsid w:val="009340D9"/>
    <w:rsid w:val="00934E04"/>
    <w:rsid w:val="00946830"/>
    <w:rsid w:val="00951CF9"/>
    <w:rsid w:val="00951FBC"/>
    <w:rsid w:val="0095470B"/>
    <w:rsid w:val="00954D87"/>
    <w:rsid w:val="009613E8"/>
    <w:rsid w:val="00961816"/>
    <w:rsid w:val="00962262"/>
    <w:rsid w:val="00962421"/>
    <w:rsid w:val="00962C5C"/>
    <w:rsid w:val="0096514E"/>
    <w:rsid w:val="00972045"/>
    <w:rsid w:val="009753F5"/>
    <w:rsid w:val="009759F6"/>
    <w:rsid w:val="00980D18"/>
    <w:rsid w:val="00980DA9"/>
    <w:rsid w:val="009827BF"/>
    <w:rsid w:val="00985484"/>
    <w:rsid w:val="009928DD"/>
    <w:rsid w:val="00995FF8"/>
    <w:rsid w:val="00996E08"/>
    <w:rsid w:val="009A02F4"/>
    <w:rsid w:val="009B0EE8"/>
    <w:rsid w:val="009C0EDC"/>
    <w:rsid w:val="009C30CB"/>
    <w:rsid w:val="009C3CF3"/>
    <w:rsid w:val="009C6155"/>
    <w:rsid w:val="009C657C"/>
    <w:rsid w:val="009C65E1"/>
    <w:rsid w:val="009C6DFF"/>
    <w:rsid w:val="009C796A"/>
    <w:rsid w:val="009D0BE6"/>
    <w:rsid w:val="009D655F"/>
    <w:rsid w:val="009E0217"/>
    <w:rsid w:val="009E282A"/>
    <w:rsid w:val="009E2F44"/>
    <w:rsid w:val="009E3CF8"/>
    <w:rsid w:val="009E6305"/>
    <w:rsid w:val="009E72D2"/>
    <w:rsid w:val="009F18A9"/>
    <w:rsid w:val="009F2E26"/>
    <w:rsid w:val="009F3334"/>
    <w:rsid w:val="009F4195"/>
    <w:rsid w:val="009F781B"/>
    <w:rsid w:val="00A011DA"/>
    <w:rsid w:val="00A0143D"/>
    <w:rsid w:val="00A043AC"/>
    <w:rsid w:val="00A05E09"/>
    <w:rsid w:val="00A10A53"/>
    <w:rsid w:val="00A10CDE"/>
    <w:rsid w:val="00A11457"/>
    <w:rsid w:val="00A11B3B"/>
    <w:rsid w:val="00A1304C"/>
    <w:rsid w:val="00A14838"/>
    <w:rsid w:val="00A14F63"/>
    <w:rsid w:val="00A15F02"/>
    <w:rsid w:val="00A161B6"/>
    <w:rsid w:val="00A22889"/>
    <w:rsid w:val="00A2518E"/>
    <w:rsid w:val="00A2551A"/>
    <w:rsid w:val="00A26DD4"/>
    <w:rsid w:val="00A2702D"/>
    <w:rsid w:val="00A30543"/>
    <w:rsid w:val="00A312D6"/>
    <w:rsid w:val="00A35FFF"/>
    <w:rsid w:val="00A37663"/>
    <w:rsid w:val="00A376B9"/>
    <w:rsid w:val="00A41E70"/>
    <w:rsid w:val="00A43D78"/>
    <w:rsid w:val="00A43EB9"/>
    <w:rsid w:val="00A440B8"/>
    <w:rsid w:val="00A447BC"/>
    <w:rsid w:val="00A44D07"/>
    <w:rsid w:val="00A45435"/>
    <w:rsid w:val="00A463D4"/>
    <w:rsid w:val="00A471AC"/>
    <w:rsid w:val="00A4788A"/>
    <w:rsid w:val="00A51C5F"/>
    <w:rsid w:val="00A5352B"/>
    <w:rsid w:val="00A53BB9"/>
    <w:rsid w:val="00A55A2D"/>
    <w:rsid w:val="00A55F1B"/>
    <w:rsid w:val="00A61C3F"/>
    <w:rsid w:val="00A62A2F"/>
    <w:rsid w:val="00A63F6B"/>
    <w:rsid w:val="00A6427A"/>
    <w:rsid w:val="00A67009"/>
    <w:rsid w:val="00A67529"/>
    <w:rsid w:val="00A717CB"/>
    <w:rsid w:val="00A71ADF"/>
    <w:rsid w:val="00A72F8E"/>
    <w:rsid w:val="00A74D32"/>
    <w:rsid w:val="00A77A70"/>
    <w:rsid w:val="00A81049"/>
    <w:rsid w:val="00A858D5"/>
    <w:rsid w:val="00A85F1A"/>
    <w:rsid w:val="00A86C4C"/>
    <w:rsid w:val="00A8786F"/>
    <w:rsid w:val="00A87CDA"/>
    <w:rsid w:val="00A9104E"/>
    <w:rsid w:val="00A9355D"/>
    <w:rsid w:val="00A93A49"/>
    <w:rsid w:val="00A96BF4"/>
    <w:rsid w:val="00A97621"/>
    <w:rsid w:val="00A97942"/>
    <w:rsid w:val="00A97B4E"/>
    <w:rsid w:val="00A97D73"/>
    <w:rsid w:val="00AA0C5A"/>
    <w:rsid w:val="00AA2D4B"/>
    <w:rsid w:val="00AA2E1D"/>
    <w:rsid w:val="00AA379B"/>
    <w:rsid w:val="00AA37B0"/>
    <w:rsid w:val="00AA38B4"/>
    <w:rsid w:val="00AB0823"/>
    <w:rsid w:val="00AB27EA"/>
    <w:rsid w:val="00AB2936"/>
    <w:rsid w:val="00AB3893"/>
    <w:rsid w:val="00AB4200"/>
    <w:rsid w:val="00AB4322"/>
    <w:rsid w:val="00AC0A0B"/>
    <w:rsid w:val="00AC0EAD"/>
    <w:rsid w:val="00AC1F2C"/>
    <w:rsid w:val="00AC5416"/>
    <w:rsid w:val="00AC5523"/>
    <w:rsid w:val="00AD1050"/>
    <w:rsid w:val="00AD144A"/>
    <w:rsid w:val="00AD2EEB"/>
    <w:rsid w:val="00AD7133"/>
    <w:rsid w:val="00AE0E27"/>
    <w:rsid w:val="00AE318A"/>
    <w:rsid w:val="00AE43C9"/>
    <w:rsid w:val="00AE4BFC"/>
    <w:rsid w:val="00AE7C4C"/>
    <w:rsid w:val="00AF0333"/>
    <w:rsid w:val="00AF1525"/>
    <w:rsid w:val="00AF4575"/>
    <w:rsid w:val="00AF5E83"/>
    <w:rsid w:val="00AF60C3"/>
    <w:rsid w:val="00B00F57"/>
    <w:rsid w:val="00B02055"/>
    <w:rsid w:val="00B02478"/>
    <w:rsid w:val="00B02EC6"/>
    <w:rsid w:val="00B0456A"/>
    <w:rsid w:val="00B06133"/>
    <w:rsid w:val="00B07CA9"/>
    <w:rsid w:val="00B10869"/>
    <w:rsid w:val="00B119B8"/>
    <w:rsid w:val="00B12194"/>
    <w:rsid w:val="00B126CE"/>
    <w:rsid w:val="00B13B1D"/>
    <w:rsid w:val="00B1560B"/>
    <w:rsid w:val="00B15672"/>
    <w:rsid w:val="00B16420"/>
    <w:rsid w:val="00B16EAC"/>
    <w:rsid w:val="00B211D8"/>
    <w:rsid w:val="00B2169F"/>
    <w:rsid w:val="00B23575"/>
    <w:rsid w:val="00B27A07"/>
    <w:rsid w:val="00B348DC"/>
    <w:rsid w:val="00B34B2D"/>
    <w:rsid w:val="00B34DF1"/>
    <w:rsid w:val="00B3571B"/>
    <w:rsid w:val="00B4135D"/>
    <w:rsid w:val="00B42836"/>
    <w:rsid w:val="00B429CF"/>
    <w:rsid w:val="00B45FE4"/>
    <w:rsid w:val="00B51155"/>
    <w:rsid w:val="00B51394"/>
    <w:rsid w:val="00B528AF"/>
    <w:rsid w:val="00B5389A"/>
    <w:rsid w:val="00B57B89"/>
    <w:rsid w:val="00B602B7"/>
    <w:rsid w:val="00B61A98"/>
    <w:rsid w:val="00B6357D"/>
    <w:rsid w:val="00B66181"/>
    <w:rsid w:val="00B70069"/>
    <w:rsid w:val="00B70667"/>
    <w:rsid w:val="00B71354"/>
    <w:rsid w:val="00B75659"/>
    <w:rsid w:val="00B77E6B"/>
    <w:rsid w:val="00B8207A"/>
    <w:rsid w:val="00B82330"/>
    <w:rsid w:val="00B83BC7"/>
    <w:rsid w:val="00B83F74"/>
    <w:rsid w:val="00B8446B"/>
    <w:rsid w:val="00B84610"/>
    <w:rsid w:val="00B92DE2"/>
    <w:rsid w:val="00B943F7"/>
    <w:rsid w:val="00B96F45"/>
    <w:rsid w:val="00BA2ACA"/>
    <w:rsid w:val="00BA2FE9"/>
    <w:rsid w:val="00BA4835"/>
    <w:rsid w:val="00BA4FAB"/>
    <w:rsid w:val="00BA50E4"/>
    <w:rsid w:val="00BA52C4"/>
    <w:rsid w:val="00BB6D50"/>
    <w:rsid w:val="00BC1975"/>
    <w:rsid w:val="00BC1E1D"/>
    <w:rsid w:val="00BC589C"/>
    <w:rsid w:val="00BC58E8"/>
    <w:rsid w:val="00BC6565"/>
    <w:rsid w:val="00BC663A"/>
    <w:rsid w:val="00BD2E6C"/>
    <w:rsid w:val="00BD342D"/>
    <w:rsid w:val="00BD3649"/>
    <w:rsid w:val="00BD3A60"/>
    <w:rsid w:val="00BD5E38"/>
    <w:rsid w:val="00BD5E59"/>
    <w:rsid w:val="00BD6805"/>
    <w:rsid w:val="00BD6CE1"/>
    <w:rsid w:val="00BD76A0"/>
    <w:rsid w:val="00BE01F6"/>
    <w:rsid w:val="00BE59B0"/>
    <w:rsid w:val="00BF0D74"/>
    <w:rsid w:val="00BF176A"/>
    <w:rsid w:val="00BF352F"/>
    <w:rsid w:val="00BF3564"/>
    <w:rsid w:val="00BF3F0B"/>
    <w:rsid w:val="00BF44E9"/>
    <w:rsid w:val="00BF61E1"/>
    <w:rsid w:val="00BF65D4"/>
    <w:rsid w:val="00BF7641"/>
    <w:rsid w:val="00BF783B"/>
    <w:rsid w:val="00C0047E"/>
    <w:rsid w:val="00C11DD9"/>
    <w:rsid w:val="00C130A7"/>
    <w:rsid w:val="00C133EB"/>
    <w:rsid w:val="00C1401F"/>
    <w:rsid w:val="00C16E4A"/>
    <w:rsid w:val="00C2542E"/>
    <w:rsid w:val="00C26E58"/>
    <w:rsid w:val="00C2701E"/>
    <w:rsid w:val="00C3699E"/>
    <w:rsid w:val="00C42BB8"/>
    <w:rsid w:val="00C438E2"/>
    <w:rsid w:val="00C44605"/>
    <w:rsid w:val="00C46659"/>
    <w:rsid w:val="00C47B58"/>
    <w:rsid w:val="00C5050B"/>
    <w:rsid w:val="00C5182A"/>
    <w:rsid w:val="00C53767"/>
    <w:rsid w:val="00C53CDB"/>
    <w:rsid w:val="00C547BA"/>
    <w:rsid w:val="00C63656"/>
    <w:rsid w:val="00C641CF"/>
    <w:rsid w:val="00C721DF"/>
    <w:rsid w:val="00C72D50"/>
    <w:rsid w:val="00C7399A"/>
    <w:rsid w:val="00C74FBD"/>
    <w:rsid w:val="00C75EE0"/>
    <w:rsid w:val="00C77EE8"/>
    <w:rsid w:val="00C802EB"/>
    <w:rsid w:val="00C81408"/>
    <w:rsid w:val="00C81EA4"/>
    <w:rsid w:val="00C82BC3"/>
    <w:rsid w:val="00C82FA0"/>
    <w:rsid w:val="00C838B0"/>
    <w:rsid w:val="00C86DB7"/>
    <w:rsid w:val="00C90835"/>
    <w:rsid w:val="00C91EF9"/>
    <w:rsid w:val="00C93AF3"/>
    <w:rsid w:val="00C94186"/>
    <w:rsid w:val="00C94FE5"/>
    <w:rsid w:val="00C96C67"/>
    <w:rsid w:val="00CA0E07"/>
    <w:rsid w:val="00CA34BE"/>
    <w:rsid w:val="00CA48D2"/>
    <w:rsid w:val="00CA4AD1"/>
    <w:rsid w:val="00CB01B1"/>
    <w:rsid w:val="00CB1E37"/>
    <w:rsid w:val="00CB3445"/>
    <w:rsid w:val="00CB3470"/>
    <w:rsid w:val="00CB5E01"/>
    <w:rsid w:val="00CB6AD9"/>
    <w:rsid w:val="00CB754F"/>
    <w:rsid w:val="00CC6F6E"/>
    <w:rsid w:val="00CD2034"/>
    <w:rsid w:val="00CD3EDE"/>
    <w:rsid w:val="00CD3F64"/>
    <w:rsid w:val="00CD71A4"/>
    <w:rsid w:val="00CD78AF"/>
    <w:rsid w:val="00CD7EBC"/>
    <w:rsid w:val="00CF2C98"/>
    <w:rsid w:val="00CF3305"/>
    <w:rsid w:val="00CF6141"/>
    <w:rsid w:val="00D0174B"/>
    <w:rsid w:val="00D060F9"/>
    <w:rsid w:val="00D115AA"/>
    <w:rsid w:val="00D11B3F"/>
    <w:rsid w:val="00D1242C"/>
    <w:rsid w:val="00D134C7"/>
    <w:rsid w:val="00D13A9C"/>
    <w:rsid w:val="00D1526C"/>
    <w:rsid w:val="00D15C36"/>
    <w:rsid w:val="00D167A4"/>
    <w:rsid w:val="00D16AD3"/>
    <w:rsid w:val="00D2420D"/>
    <w:rsid w:val="00D32445"/>
    <w:rsid w:val="00D33C8F"/>
    <w:rsid w:val="00D33EF2"/>
    <w:rsid w:val="00D41323"/>
    <w:rsid w:val="00D42673"/>
    <w:rsid w:val="00D426F5"/>
    <w:rsid w:val="00D4513D"/>
    <w:rsid w:val="00D524C4"/>
    <w:rsid w:val="00D52E74"/>
    <w:rsid w:val="00D57DDF"/>
    <w:rsid w:val="00D62C09"/>
    <w:rsid w:val="00D62D81"/>
    <w:rsid w:val="00D635D3"/>
    <w:rsid w:val="00D66E3E"/>
    <w:rsid w:val="00D70A12"/>
    <w:rsid w:val="00D720CE"/>
    <w:rsid w:val="00D72531"/>
    <w:rsid w:val="00D815A1"/>
    <w:rsid w:val="00D819BC"/>
    <w:rsid w:val="00D81EE6"/>
    <w:rsid w:val="00D827C1"/>
    <w:rsid w:val="00D82F97"/>
    <w:rsid w:val="00D83A96"/>
    <w:rsid w:val="00D8533F"/>
    <w:rsid w:val="00D85484"/>
    <w:rsid w:val="00D8554A"/>
    <w:rsid w:val="00D872C2"/>
    <w:rsid w:val="00D90662"/>
    <w:rsid w:val="00D92F3A"/>
    <w:rsid w:val="00D93B90"/>
    <w:rsid w:val="00D94493"/>
    <w:rsid w:val="00D95853"/>
    <w:rsid w:val="00D95888"/>
    <w:rsid w:val="00DA0113"/>
    <w:rsid w:val="00DA0B5F"/>
    <w:rsid w:val="00DA61B1"/>
    <w:rsid w:val="00DA69E2"/>
    <w:rsid w:val="00DA79F8"/>
    <w:rsid w:val="00DB593A"/>
    <w:rsid w:val="00DC17CF"/>
    <w:rsid w:val="00DC2598"/>
    <w:rsid w:val="00DC279A"/>
    <w:rsid w:val="00DC289B"/>
    <w:rsid w:val="00DC5424"/>
    <w:rsid w:val="00DC5658"/>
    <w:rsid w:val="00DC6631"/>
    <w:rsid w:val="00DC6719"/>
    <w:rsid w:val="00DC688A"/>
    <w:rsid w:val="00DC72EF"/>
    <w:rsid w:val="00DD6DE7"/>
    <w:rsid w:val="00DE15EB"/>
    <w:rsid w:val="00DE1BD9"/>
    <w:rsid w:val="00DE206B"/>
    <w:rsid w:val="00DE37ED"/>
    <w:rsid w:val="00DE399B"/>
    <w:rsid w:val="00DE4034"/>
    <w:rsid w:val="00DE552E"/>
    <w:rsid w:val="00DE5549"/>
    <w:rsid w:val="00DE6017"/>
    <w:rsid w:val="00DE6750"/>
    <w:rsid w:val="00DE6C52"/>
    <w:rsid w:val="00DE6E13"/>
    <w:rsid w:val="00DF10F5"/>
    <w:rsid w:val="00DF36BD"/>
    <w:rsid w:val="00DF5C07"/>
    <w:rsid w:val="00DF68BC"/>
    <w:rsid w:val="00DF78E4"/>
    <w:rsid w:val="00E004BE"/>
    <w:rsid w:val="00E037C0"/>
    <w:rsid w:val="00E044B0"/>
    <w:rsid w:val="00E117BC"/>
    <w:rsid w:val="00E11E93"/>
    <w:rsid w:val="00E14525"/>
    <w:rsid w:val="00E14E82"/>
    <w:rsid w:val="00E162F1"/>
    <w:rsid w:val="00E22B9D"/>
    <w:rsid w:val="00E2396C"/>
    <w:rsid w:val="00E23ED5"/>
    <w:rsid w:val="00E2440D"/>
    <w:rsid w:val="00E248E2"/>
    <w:rsid w:val="00E26F3B"/>
    <w:rsid w:val="00E27A82"/>
    <w:rsid w:val="00E303C8"/>
    <w:rsid w:val="00E31062"/>
    <w:rsid w:val="00E313FE"/>
    <w:rsid w:val="00E34E09"/>
    <w:rsid w:val="00E41B9D"/>
    <w:rsid w:val="00E41F33"/>
    <w:rsid w:val="00E444F3"/>
    <w:rsid w:val="00E44761"/>
    <w:rsid w:val="00E45731"/>
    <w:rsid w:val="00E45DB7"/>
    <w:rsid w:val="00E50E53"/>
    <w:rsid w:val="00E52F75"/>
    <w:rsid w:val="00E53226"/>
    <w:rsid w:val="00E53613"/>
    <w:rsid w:val="00E5558C"/>
    <w:rsid w:val="00E56132"/>
    <w:rsid w:val="00E5799C"/>
    <w:rsid w:val="00E6068E"/>
    <w:rsid w:val="00E60DEB"/>
    <w:rsid w:val="00E6284A"/>
    <w:rsid w:val="00E6321A"/>
    <w:rsid w:val="00E67343"/>
    <w:rsid w:val="00E71310"/>
    <w:rsid w:val="00E76B9D"/>
    <w:rsid w:val="00E80A67"/>
    <w:rsid w:val="00E8168F"/>
    <w:rsid w:val="00E82457"/>
    <w:rsid w:val="00E85D4C"/>
    <w:rsid w:val="00E86F1E"/>
    <w:rsid w:val="00E90E8A"/>
    <w:rsid w:val="00E938C7"/>
    <w:rsid w:val="00E96497"/>
    <w:rsid w:val="00E96D6D"/>
    <w:rsid w:val="00E975F8"/>
    <w:rsid w:val="00E978CF"/>
    <w:rsid w:val="00E97B4C"/>
    <w:rsid w:val="00EA1F68"/>
    <w:rsid w:val="00EA41F9"/>
    <w:rsid w:val="00EA5505"/>
    <w:rsid w:val="00EA731B"/>
    <w:rsid w:val="00EA7CDF"/>
    <w:rsid w:val="00EB1B1A"/>
    <w:rsid w:val="00EB2F8F"/>
    <w:rsid w:val="00EB3E94"/>
    <w:rsid w:val="00EC1C91"/>
    <w:rsid w:val="00EC4B71"/>
    <w:rsid w:val="00EC5EE8"/>
    <w:rsid w:val="00EC67EB"/>
    <w:rsid w:val="00ED0343"/>
    <w:rsid w:val="00ED1A41"/>
    <w:rsid w:val="00ED3822"/>
    <w:rsid w:val="00ED6AE0"/>
    <w:rsid w:val="00EE182D"/>
    <w:rsid w:val="00EE2F52"/>
    <w:rsid w:val="00EE3182"/>
    <w:rsid w:val="00EE4836"/>
    <w:rsid w:val="00EE6A73"/>
    <w:rsid w:val="00EF065D"/>
    <w:rsid w:val="00EF167B"/>
    <w:rsid w:val="00EF26D0"/>
    <w:rsid w:val="00EF3047"/>
    <w:rsid w:val="00EF3A1A"/>
    <w:rsid w:val="00EF4FD5"/>
    <w:rsid w:val="00EF6B05"/>
    <w:rsid w:val="00F01CF9"/>
    <w:rsid w:val="00F02EE8"/>
    <w:rsid w:val="00F03467"/>
    <w:rsid w:val="00F037A7"/>
    <w:rsid w:val="00F04EB7"/>
    <w:rsid w:val="00F05EE8"/>
    <w:rsid w:val="00F12218"/>
    <w:rsid w:val="00F12A31"/>
    <w:rsid w:val="00F153C0"/>
    <w:rsid w:val="00F16FC3"/>
    <w:rsid w:val="00F1749D"/>
    <w:rsid w:val="00F2378D"/>
    <w:rsid w:val="00F23D98"/>
    <w:rsid w:val="00F26A80"/>
    <w:rsid w:val="00F31D08"/>
    <w:rsid w:val="00F43499"/>
    <w:rsid w:val="00F43C93"/>
    <w:rsid w:val="00F44AF7"/>
    <w:rsid w:val="00F44C18"/>
    <w:rsid w:val="00F47837"/>
    <w:rsid w:val="00F50629"/>
    <w:rsid w:val="00F5328F"/>
    <w:rsid w:val="00F53F79"/>
    <w:rsid w:val="00F54D86"/>
    <w:rsid w:val="00F57C9D"/>
    <w:rsid w:val="00F61779"/>
    <w:rsid w:val="00F61DB4"/>
    <w:rsid w:val="00F63F5B"/>
    <w:rsid w:val="00F648A1"/>
    <w:rsid w:val="00F65D74"/>
    <w:rsid w:val="00F729EE"/>
    <w:rsid w:val="00F7546E"/>
    <w:rsid w:val="00F778C0"/>
    <w:rsid w:val="00F77FDB"/>
    <w:rsid w:val="00F845FF"/>
    <w:rsid w:val="00F85082"/>
    <w:rsid w:val="00F8548D"/>
    <w:rsid w:val="00F85836"/>
    <w:rsid w:val="00F85CB1"/>
    <w:rsid w:val="00F86F78"/>
    <w:rsid w:val="00F903EC"/>
    <w:rsid w:val="00F92106"/>
    <w:rsid w:val="00F9332C"/>
    <w:rsid w:val="00F94772"/>
    <w:rsid w:val="00F95439"/>
    <w:rsid w:val="00FA183D"/>
    <w:rsid w:val="00FA1B08"/>
    <w:rsid w:val="00FA298E"/>
    <w:rsid w:val="00FA7537"/>
    <w:rsid w:val="00FB0156"/>
    <w:rsid w:val="00FB34E7"/>
    <w:rsid w:val="00FB4124"/>
    <w:rsid w:val="00FB4F9A"/>
    <w:rsid w:val="00FB5534"/>
    <w:rsid w:val="00FB6AA3"/>
    <w:rsid w:val="00FB72CA"/>
    <w:rsid w:val="00FC3D9D"/>
    <w:rsid w:val="00FC536D"/>
    <w:rsid w:val="00FC623B"/>
    <w:rsid w:val="00FC6579"/>
    <w:rsid w:val="00FC7101"/>
    <w:rsid w:val="00FD0BEF"/>
    <w:rsid w:val="00FD3ACD"/>
    <w:rsid w:val="00FD4774"/>
    <w:rsid w:val="00FD4F47"/>
    <w:rsid w:val="00FD531D"/>
    <w:rsid w:val="00FE0764"/>
    <w:rsid w:val="00FE15B0"/>
    <w:rsid w:val="00FE6783"/>
    <w:rsid w:val="00FE6C7D"/>
    <w:rsid w:val="00FF0653"/>
    <w:rsid w:val="00FF1BA7"/>
    <w:rsid w:val="00FF1D67"/>
    <w:rsid w:val="00FF4300"/>
    <w:rsid w:val="00FF4DAF"/>
    <w:rsid w:val="00FF6C95"/>
    <w:rsid w:val="00FF7380"/>
    <w:rsid w:val="080AEDD8"/>
    <w:rsid w:val="24C2E917"/>
    <w:rsid w:val="5BA55C3D"/>
    <w:rsid w:val="6B70C838"/>
    <w:rsid w:val="6E9A29DA"/>
    <w:rsid w:val="78160EA1"/>
  </w:rsids>
  <m:mathPr>
    <m:mathFont m:val="Cambria Math"/>
    <m:brkBin m:val="before"/>
    <m:brkBinSub m:val="--"/>
    <m:smallFrac m:val="0"/>
    <m:dispDef/>
    <m:lMargin m:val="0"/>
    <m:rMargin m:val="0"/>
    <m:defJc m:val="centerGroup"/>
    <m:wrapIndent m:val="1440"/>
    <m:intLim m:val="subSup"/>
    <m:naryLim m:val="undOvr"/>
  </m:mathPr>
  <w:themeFontLang w:val="es-CO"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99FC52"/>
  <w15:chartTrackingRefBased/>
  <w15:docId w15:val="{DAA4646A-3116-B042-9959-7170106DC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7"/>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49"/>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594"/>
    <w:pPr>
      <w:spacing w:after="160" w:line="480" w:lineRule="auto"/>
    </w:pPr>
    <w:rPr>
      <w:rFonts w:ascii="Calibri" w:eastAsia="Calibri" w:hAnsi="Calibri" w:cs="Times New Roman"/>
      <w:sz w:val="22"/>
      <w:szCs w:val="22"/>
    </w:rPr>
  </w:style>
  <w:style w:type="paragraph" w:styleId="Ttulo1">
    <w:name w:val="heading 1"/>
    <w:basedOn w:val="Normal"/>
    <w:next w:val="Normal"/>
    <w:link w:val="Ttulo1Car"/>
    <w:uiPriority w:val="9"/>
    <w:qFormat/>
    <w:rsid w:val="00456594"/>
    <w:pPr>
      <w:numPr>
        <w:numId w:val="1"/>
      </w:numPr>
      <w:spacing w:line="360" w:lineRule="auto"/>
      <w:jc w:val="center"/>
      <w:outlineLvl w:val="0"/>
    </w:pPr>
    <w:rPr>
      <w:rFonts w:ascii="Arial" w:hAnsi="Arial" w:cs="Arial"/>
      <w:szCs w:val="24"/>
    </w:rPr>
  </w:style>
  <w:style w:type="paragraph" w:styleId="Ttulo2">
    <w:name w:val="heading 2"/>
    <w:basedOn w:val="Normal"/>
    <w:next w:val="Normal"/>
    <w:link w:val="Ttulo2Car"/>
    <w:uiPriority w:val="9"/>
    <w:qFormat/>
    <w:rsid w:val="00456594"/>
    <w:pPr>
      <w:numPr>
        <w:ilvl w:val="1"/>
        <w:numId w:val="1"/>
      </w:num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qFormat/>
    <w:rsid w:val="00456594"/>
    <w:pPr>
      <w:keepNext/>
      <w:keepLines/>
      <w:numPr>
        <w:ilvl w:val="2"/>
        <w:numId w:val="1"/>
      </w:numPr>
      <w:spacing w:before="40" w:after="0"/>
      <w:outlineLvl w:val="2"/>
    </w:pPr>
    <w:rPr>
      <w:rFonts w:ascii="Calibri Light" w:eastAsia="Times New Roman" w:hAnsi="Calibri Light"/>
      <w:b/>
      <w:i/>
      <w:color w:val="FF6C00"/>
      <w:szCs w:val="24"/>
    </w:rPr>
  </w:style>
  <w:style w:type="paragraph" w:styleId="Ttulo4">
    <w:name w:val="heading 4"/>
    <w:basedOn w:val="Normal"/>
    <w:next w:val="Normal"/>
    <w:link w:val="Ttulo4Car"/>
    <w:uiPriority w:val="9"/>
    <w:qFormat/>
    <w:rsid w:val="00456594"/>
    <w:pPr>
      <w:keepNext/>
      <w:numPr>
        <w:ilvl w:val="3"/>
        <w:numId w:val="1"/>
      </w:numPr>
      <w:spacing w:before="240" w:after="60" w:line="240" w:lineRule="auto"/>
      <w:outlineLvl w:val="3"/>
    </w:pPr>
    <w:rPr>
      <w:rFonts w:eastAsia="Times New Roman"/>
      <w:b/>
      <w:bCs/>
      <w:sz w:val="28"/>
      <w:szCs w:val="28"/>
      <w:lang w:val="en-US"/>
    </w:rPr>
  </w:style>
  <w:style w:type="paragraph" w:styleId="Ttulo5">
    <w:name w:val="heading 5"/>
    <w:basedOn w:val="Normal"/>
    <w:next w:val="Normal"/>
    <w:link w:val="Ttulo5Car"/>
    <w:uiPriority w:val="9"/>
    <w:qFormat/>
    <w:rsid w:val="00456594"/>
    <w:pPr>
      <w:numPr>
        <w:ilvl w:val="4"/>
        <w:numId w:val="1"/>
      </w:numPr>
      <w:spacing w:before="240" w:after="60" w:line="240" w:lineRule="auto"/>
      <w:outlineLvl w:val="4"/>
    </w:pPr>
    <w:rPr>
      <w:rFonts w:eastAsia="Times New Roman"/>
      <w:b/>
      <w:bCs/>
      <w:i/>
      <w:iCs/>
      <w:sz w:val="26"/>
      <w:szCs w:val="26"/>
      <w:lang w:val="en-US"/>
    </w:rPr>
  </w:style>
  <w:style w:type="paragraph" w:styleId="Ttulo6">
    <w:name w:val="heading 6"/>
    <w:basedOn w:val="Normal"/>
    <w:next w:val="Normal"/>
    <w:link w:val="Ttulo6Car"/>
    <w:qFormat/>
    <w:rsid w:val="00456594"/>
    <w:pPr>
      <w:numPr>
        <w:ilvl w:val="5"/>
        <w:numId w:val="1"/>
      </w:numPr>
      <w:spacing w:before="240" w:after="60" w:line="240" w:lineRule="auto"/>
      <w:outlineLvl w:val="5"/>
    </w:pPr>
    <w:rPr>
      <w:rFonts w:ascii="Times New Roman" w:eastAsia="Times New Roman" w:hAnsi="Times New Roman"/>
      <w:b/>
      <w:bCs/>
      <w:lang w:val="en-US"/>
    </w:rPr>
  </w:style>
  <w:style w:type="paragraph" w:styleId="Ttulo7">
    <w:name w:val="heading 7"/>
    <w:basedOn w:val="Normal"/>
    <w:next w:val="Normal"/>
    <w:link w:val="Ttulo7Car"/>
    <w:uiPriority w:val="9"/>
    <w:qFormat/>
    <w:rsid w:val="00456594"/>
    <w:pPr>
      <w:numPr>
        <w:ilvl w:val="6"/>
        <w:numId w:val="1"/>
      </w:numPr>
      <w:spacing w:before="240" w:after="60" w:line="240" w:lineRule="auto"/>
      <w:outlineLvl w:val="6"/>
    </w:pPr>
    <w:rPr>
      <w:rFonts w:eastAsia="Times New Roman"/>
      <w:sz w:val="24"/>
      <w:szCs w:val="24"/>
      <w:lang w:val="en-US"/>
    </w:rPr>
  </w:style>
  <w:style w:type="paragraph" w:styleId="Ttulo8">
    <w:name w:val="heading 8"/>
    <w:basedOn w:val="Normal"/>
    <w:next w:val="Normal"/>
    <w:link w:val="Ttulo8Car"/>
    <w:uiPriority w:val="9"/>
    <w:qFormat/>
    <w:rsid w:val="00456594"/>
    <w:pPr>
      <w:numPr>
        <w:ilvl w:val="7"/>
        <w:numId w:val="1"/>
      </w:numPr>
      <w:spacing w:before="240" w:after="60" w:line="240" w:lineRule="auto"/>
      <w:outlineLvl w:val="7"/>
    </w:pPr>
    <w:rPr>
      <w:rFonts w:eastAsia="Times New Roman"/>
      <w:i/>
      <w:iCs/>
      <w:sz w:val="24"/>
      <w:szCs w:val="24"/>
      <w:lang w:val="en-US"/>
    </w:rPr>
  </w:style>
  <w:style w:type="paragraph" w:styleId="Ttulo9">
    <w:name w:val="heading 9"/>
    <w:basedOn w:val="Normal"/>
    <w:next w:val="Normal"/>
    <w:link w:val="Ttulo9Car"/>
    <w:uiPriority w:val="9"/>
    <w:qFormat/>
    <w:rsid w:val="00456594"/>
    <w:pPr>
      <w:numPr>
        <w:ilvl w:val="8"/>
        <w:numId w:val="1"/>
      </w:numPr>
      <w:spacing w:before="240" w:after="60" w:line="240" w:lineRule="auto"/>
      <w:outlineLvl w:val="8"/>
    </w:pPr>
    <w:rPr>
      <w:rFonts w:ascii="Calibri Light" w:eastAsia="Times New Roman" w:hAnsi="Calibri Light"/>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56594"/>
    <w:rPr>
      <w:rFonts w:ascii="Arial" w:eastAsia="Calibri" w:hAnsi="Arial" w:cs="Arial"/>
      <w:sz w:val="22"/>
    </w:rPr>
  </w:style>
  <w:style w:type="character" w:customStyle="1" w:styleId="Ttulo2Car">
    <w:name w:val="Título 2 Car"/>
    <w:basedOn w:val="Fuentedeprrafopredeter"/>
    <w:link w:val="Ttulo2"/>
    <w:uiPriority w:val="9"/>
    <w:rsid w:val="00456594"/>
    <w:rPr>
      <w:rFonts w:ascii="Calibri" w:eastAsia="Calibri" w:hAnsi="Calibri" w:cs="Arial"/>
      <w:b/>
      <w:color w:val="FF6C00"/>
    </w:rPr>
  </w:style>
  <w:style w:type="character" w:customStyle="1" w:styleId="Ttulo3Car">
    <w:name w:val="Título 3 Car"/>
    <w:basedOn w:val="Fuentedeprrafopredeter"/>
    <w:link w:val="Ttulo3"/>
    <w:uiPriority w:val="9"/>
    <w:rsid w:val="00456594"/>
    <w:rPr>
      <w:rFonts w:ascii="Calibri Light" w:eastAsia="Times New Roman" w:hAnsi="Calibri Light" w:cs="Times New Roman"/>
      <w:b/>
      <w:i/>
      <w:color w:val="FF6C00"/>
      <w:sz w:val="22"/>
    </w:rPr>
  </w:style>
  <w:style w:type="character" w:customStyle="1" w:styleId="Ttulo4Car">
    <w:name w:val="Título 4 Car"/>
    <w:basedOn w:val="Fuentedeprrafopredeter"/>
    <w:link w:val="Ttulo4"/>
    <w:uiPriority w:val="9"/>
    <w:rsid w:val="00456594"/>
    <w:rPr>
      <w:rFonts w:ascii="Calibri" w:eastAsia="Times New Roman" w:hAnsi="Calibri" w:cs="Times New Roman"/>
      <w:b/>
      <w:bCs/>
      <w:sz w:val="28"/>
      <w:szCs w:val="28"/>
      <w:lang w:val="en-US"/>
    </w:rPr>
  </w:style>
  <w:style w:type="character" w:customStyle="1" w:styleId="Ttulo5Car">
    <w:name w:val="Título 5 Car"/>
    <w:basedOn w:val="Fuentedeprrafopredeter"/>
    <w:link w:val="Ttulo5"/>
    <w:uiPriority w:val="9"/>
    <w:rsid w:val="00456594"/>
    <w:rPr>
      <w:rFonts w:ascii="Calibri" w:eastAsia="Times New Roman" w:hAnsi="Calibri" w:cs="Times New Roman"/>
      <w:b/>
      <w:bCs/>
      <w:i/>
      <w:iCs/>
      <w:sz w:val="26"/>
      <w:szCs w:val="26"/>
      <w:lang w:val="en-US"/>
    </w:rPr>
  </w:style>
  <w:style w:type="character" w:customStyle="1" w:styleId="Ttulo6Car">
    <w:name w:val="Título 6 Car"/>
    <w:basedOn w:val="Fuentedeprrafopredeter"/>
    <w:link w:val="Ttulo6"/>
    <w:rsid w:val="00456594"/>
    <w:rPr>
      <w:rFonts w:ascii="Times New Roman" w:eastAsia="Times New Roman" w:hAnsi="Times New Roman" w:cs="Times New Roman"/>
      <w:b/>
      <w:bCs/>
      <w:sz w:val="22"/>
      <w:szCs w:val="22"/>
      <w:lang w:val="en-US"/>
    </w:rPr>
  </w:style>
  <w:style w:type="character" w:customStyle="1" w:styleId="Ttulo7Car">
    <w:name w:val="Título 7 Car"/>
    <w:basedOn w:val="Fuentedeprrafopredeter"/>
    <w:link w:val="Ttulo7"/>
    <w:uiPriority w:val="9"/>
    <w:rsid w:val="00456594"/>
    <w:rPr>
      <w:rFonts w:ascii="Calibri" w:eastAsia="Times New Roman" w:hAnsi="Calibri" w:cs="Times New Roman"/>
      <w:lang w:val="en-US"/>
    </w:rPr>
  </w:style>
  <w:style w:type="character" w:customStyle="1" w:styleId="Ttulo8Car">
    <w:name w:val="Título 8 Car"/>
    <w:basedOn w:val="Fuentedeprrafopredeter"/>
    <w:link w:val="Ttulo8"/>
    <w:uiPriority w:val="9"/>
    <w:rsid w:val="00456594"/>
    <w:rPr>
      <w:rFonts w:ascii="Calibri" w:eastAsia="Times New Roman" w:hAnsi="Calibri" w:cs="Times New Roman"/>
      <w:i/>
      <w:iCs/>
      <w:lang w:val="en-US"/>
    </w:rPr>
  </w:style>
  <w:style w:type="character" w:customStyle="1" w:styleId="Ttulo9Car">
    <w:name w:val="Título 9 Car"/>
    <w:basedOn w:val="Fuentedeprrafopredeter"/>
    <w:link w:val="Ttulo9"/>
    <w:uiPriority w:val="9"/>
    <w:rsid w:val="00456594"/>
    <w:rPr>
      <w:rFonts w:ascii="Calibri Light" w:eastAsia="Times New Roman" w:hAnsi="Calibri Light" w:cs="Times New Roman"/>
      <w:sz w:val="22"/>
      <w:szCs w:val="22"/>
      <w:lang w:val="en-US"/>
    </w:rPr>
  </w:style>
  <w:style w:type="paragraph" w:styleId="Encabezado">
    <w:name w:val="header"/>
    <w:aliases w:val="encabezado,h,h8,h9,h10,h18"/>
    <w:basedOn w:val="Normal"/>
    <w:link w:val="EncabezadoCar"/>
    <w:uiPriority w:val="99"/>
    <w:unhideWhenUsed/>
    <w:rsid w:val="00456594"/>
    <w:pPr>
      <w:tabs>
        <w:tab w:val="center" w:pos="4419"/>
        <w:tab w:val="right" w:pos="8838"/>
      </w:tabs>
    </w:pPr>
  </w:style>
  <w:style w:type="character" w:customStyle="1" w:styleId="EncabezadoCar">
    <w:name w:val="Encabezado Car"/>
    <w:aliases w:val="encabezado Car,h Car,h8 Car,h9 Car,h10 Car,h18 Car"/>
    <w:basedOn w:val="Fuentedeprrafopredeter"/>
    <w:link w:val="Encabezado"/>
    <w:uiPriority w:val="99"/>
    <w:rsid w:val="00456594"/>
  </w:style>
  <w:style w:type="paragraph" w:styleId="Piedepgina">
    <w:name w:val="footer"/>
    <w:basedOn w:val="Normal"/>
    <w:link w:val="PiedepginaCar"/>
    <w:uiPriority w:val="99"/>
    <w:unhideWhenUsed/>
    <w:rsid w:val="00456594"/>
    <w:pPr>
      <w:tabs>
        <w:tab w:val="center" w:pos="4419"/>
        <w:tab w:val="right" w:pos="8838"/>
      </w:tabs>
    </w:pPr>
  </w:style>
  <w:style w:type="character" w:customStyle="1" w:styleId="PiedepginaCar">
    <w:name w:val="Pie de página Car"/>
    <w:basedOn w:val="Fuentedeprrafopredeter"/>
    <w:link w:val="Piedepgina"/>
    <w:uiPriority w:val="99"/>
    <w:rsid w:val="00456594"/>
  </w:style>
  <w:style w:type="paragraph" w:styleId="Textodeglobo">
    <w:name w:val="Balloon Text"/>
    <w:basedOn w:val="Normal"/>
    <w:link w:val="TextodegloboCar"/>
    <w:uiPriority w:val="99"/>
    <w:semiHidden/>
    <w:unhideWhenUsed/>
    <w:rsid w:val="00456594"/>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456594"/>
    <w:rPr>
      <w:rFonts w:ascii="Lucida Grande" w:eastAsia="Calibri" w:hAnsi="Lucida Grande" w:cs="Lucida Grande"/>
      <w:sz w:val="18"/>
      <w:szCs w:val="18"/>
    </w:rPr>
  </w:style>
  <w:style w:type="paragraph" w:styleId="Textosinformato">
    <w:name w:val="Plain Text"/>
    <w:basedOn w:val="Normal"/>
    <w:link w:val="TextosinformatoCar"/>
    <w:uiPriority w:val="99"/>
    <w:semiHidden/>
    <w:unhideWhenUsed/>
    <w:rsid w:val="00456594"/>
    <w:pPr>
      <w:spacing w:after="0" w:line="240" w:lineRule="auto"/>
    </w:pPr>
    <w:rPr>
      <w:szCs w:val="21"/>
    </w:rPr>
  </w:style>
  <w:style w:type="character" w:customStyle="1" w:styleId="TextosinformatoCar">
    <w:name w:val="Texto sin formato Car"/>
    <w:basedOn w:val="Fuentedeprrafopredeter"/>
    <w:link w:val="Textosinformato"/>
    <w:uiPriority w:val="99"/>
    <w:semiHidden/>
    <w:rsid w:val="00456594"/>
    <w:rPr>
      <w:rFonts w:ascii="Calibri" w:eastAsia="Calibri" w:hAnsi="Calibri" w:cs="Times New Roman"/>
      <w:sz w:val="22"/>
      <w:szCs w:val="21"/>
    </w:rPr>
  </w:style>
  <w:style w:type="paragraph" w:styleId="TDC1">
    <w:name w:val="toc 1"/>
    <w:basedOn w:val="Normal"/>
    <w:next w:val="Normal"/>
    <w:autoRedefine/>
    <w:uiPriority w:val="39"/>
    <w:unhideWhenUsed/>
    <w:rsid w:val="00456594"/>
    <w:pPr>
      <w:tabs>
        <w:tab w:val="left" w:pos="440"/>
        <w:tab w:val="right" w:leader="dot" w:pos="8828"/>
      </w:tabs>
      <w:spacing w:after="100"/>
    </w:pPr>
  </w:style>
  <w:style w:type="character" w:styleId="Hipervnculo">
    <w:name w:val="Hyperlink"/>
    <w:uiPriority w:val="99"/>
    <w:unhideWhenUsed/>
    <w:rsid w:val="00456594"/>
    <w:rPr>
      <w:color w:val="0563C1"/>
      <w:u w:val="single"/>
    </w:rPr>
  </w:style>
  <w:style w:type="character" w:customStyle="1" w:styleId="Cuadrculamedia2Car">
    <w:name w:val="Cuadrícula media 2 Car"/>
    <w:link w:val="Cuadrculamedia2"/>
    <w:uiPriority w:val="1"/>
    <w:rsid w:val="00456594"/>
    <w:rPr>
      <w:rFonts w:eastAsia="Times New Roman"/>
      <w:sz w:val="22"/>
      <w:szCs w:val="22"/>
      <w:lang w:val="es-CO" w:eastAsia="es-CO"/>
    </w:rPr>
  </w:style>
  <w:style w:type="table" w:styleId="Cuadrculamedia2">
    <w:name w:val="Medium Grid 2"/>
    <w:basedOn w:val="Tablanormal"/>
    <w:link w:val="Cuadrculamedia2Car"/>
    <w:uiPriority w:val="1"/>
    <w:semiHidden/>
    <w:unhideWhenUsed/>
    <w:rsid w:val="00456594"/>
    <w:rPr>
      <w:rFonts w:eastAsia="Times New Roman"/>
      <w:sz w:val="22"/>
      <w:szCs w:val="22"/>
      <w:lang w:eastAsia="es-C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Listavistosa-nfasis1Car1">
    <w:name w:val="Lista vistosa - Énfasis 1 Car1"/>
    <w:aliases w:val="HOJA Car,Bolita Car,List Paragraph Car,Párrafo de lista4 Car,BOLADEF Car,Párrafo de lista3 Car,Párrafo de lista21 Car,BOLA Car,Nivel 1 OS Car,Colorful List Accent 1 Car,Colorful List - Accent 11 Car,Llista Nivell1 Car"/>
    <w:link w:val="Listavistosa-nfasis1"/>
    <w:uiPriority w:val="34"/>
    <w:rsid w:val="00456594"/>
    <w:rPr>
      <w:rFonts w:ascii="Calibri" w:eastAsia="Calibri" w:hAnsi="Calibri" w:cs="Times New Roman"/>
      <w:sz w:val="22"/>
      <w:szCs w:val="22"/>
      <w:lang w:val="es-CO"/>
    </w:rPr>
  </w:style>
  <w:style w:type="table" w:styleId="Listavistosa-nfasis1">
    <w:name w:val="Colorful List Accent 1"/>
    <w:basedOn w:val="Tablanormal"/>
    <w:link w:val="Listavistosa-nfasis1Car1"/>
    <w:uiPriority w:val="34"/>
    <w:semiHidden/>
    <w:unhideWhenUsed/>
    <w:rsid w:val="00456594"/>
    <w:rPr>
      <w:rFonts w:ascii="Calibri" w:eastAsia="Calibri" w:hAnsi="Calibri" w:cs="Times New Roman"/>
      <w:sz w:val="22"/>
      <w:szCs w:val="22"/>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Tablaconcuadrcula">
    <w:name w:val="Table Grid"/>
    <w:basedOn w:val="Tablanormal"/>
    <w:uiPriority w:val="59"/>
    <w:rsid w:val="00456594"/>
    <w:pPr>
      <w:spacing w:after="160"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456594"/>
    <w:pPr>
      <w:spacing w:after="100"/>
      <w:ind w:left="220"/>
    </w:pPr>
  </w:style>
  <w:style w:type="paragraph" w:styleId="Descripcin">
    <w:name w:val="caption"/>
    <w:basedOn w:val="Normal"/>
    <w:next w:val="Normal"/>
    <w:uiPriority w:val="35"/>
    <w:qFormat/>
    <w:rsid w:val="00456594"/>
    <w:pPr>
      <w:spacing w:after="200" w:line="240" w:lineRule="auto"/>
    </w:pPr>
    <w:rPr>
      <w:i/>
      <w:iCs/>
      <w:color w:val="44546A"/>
      <w:sz w:val="18"/>
      <w:szCs w:val="18"/>
    </w:rPr>
  </w:style>
  <w:style w:type="paragraph" w:styleId="Textonotapie">
    <w:name w:val="footnote text"/>
    <w:basedOn w:val="Normal"/>
    <w:link w:val="TextonotapieCar"/>
    <w:uiPriority w:val="99"/>
    <w:semiHidden/>
    <w:unhideWhenUsed/>
    <w:rsid w:val="0045659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6594"/>
    <w:rPr>
      <w:rFonts w:ascii="Calibri" w:eastAsia="Calibri" w:hAnsi="Calibri" w:cs="Times New Roman"/>
      <w:sz w:val="20"/>
      <w:szCs w:val="20"/>
    </w:rPr>
  </w:style>
  <w:style w:type="character" w:styleId="Refdenotaalpie">
    <w:name w:val="footnote reference"/>
    <w:uiPriority w:val="99"/>
    <w:semiHidden/>
    <w:unhideWhenUsed/>
    <w:rsid w:val="00456594"/>
    <w:rPr>
      <w:vertAlign w:val="superscript"/>
    </w:rPr>
  </w:style>
  <w:style w:type="character" w:customStyle="1" w:styleId="Mencinsinresolver1">
    <w:name w:val="Mención sin resolver1"/>
    <w:uiPriority w:val="99"/>
    <w:semiHidden/>
    <w:unhideWhenUsed/>
    <w:rsid w:val="00456594"/>
    <w:rPr>
      <w:color w:val="605E5C"/>
      <w:shd w:val="clear" w:color="auto" w:fill="E1DFDD"/>
    </w:rPr>
  </w:style>
  <w:style w:type="character" w:styleId="Hipervnculovisitado">
    <w:name w:val="FollowedHyperlink"/>
    <w:uiPriority w:val="99"/>
    <w:semiHidden/>
    <w:unhideWhenUsed/>
    <w:rsid w:val="00456594"/>
    <w:rPr>
      <w:color w:val="954F72"/>
      <w:u w:val="single"/>
    </w:rPr>
  </w:style>
  <w:style w:type="paragraph" w:styleId="Saludo">
    <w:name w:val="Salutation"/>
    <w:basedOn w:val="Normal"/>
    <w:next w:val="Normal"/>
    <w:link w:val="SaludoCar"/>
    <w:uiPriority w:val="99"/>
    <w:unhideWhenUsed/>
    <w:rsid w:val="00456594"/>
  </w:style>
  <w:style w:type="character" w:customStyle="1" w:styleId="SaludoCar">
    <w:name w:val="Saludo Car"/>
    <w:basedOn w:val="Fuentedeprrafopredeter"/>
    <w:link w:val="Saludo"/>
    <w:uiPriority w:val="99"/>
    <w:rsid w:val="00456594"/>
    <w:rPr>
      <w:rFonts w:ascii="Calibri" w:eastAsia="Calibri" w:hAnsi="Calibri" w:cs="Times New Roman"/>
      <w:sz w:val="22"/>
      <w:szCs w:val="22"/>
    </w:rPr>
  </w:style>
  <w:style w:type="paragraph" w:styleId="Textoindependiente">
    <w:name w:val="Body Text"/>
    <w:basedOn w:val="Normal"/>
    <w:link w:val="TextoindependienteCar"/>
    <w:uiPriority w:val="1"/>
    <w:unhideWhenUsed/>
    <w:qFormat/>
    <w:rsid w:val="00456594"/>
    <w:pPr>
      <w:spacing w:after="120"/>
    </w:pPr>
  </w:style>
  <w:style w:type="character" w:customStyle="1" w:styleId="TextoindependienteCar">
    <w:name w:val="Texto independiente Car"/>
    <w:basedOn w:val="Fuentedeprrafopredeter"/>
    <w:link w:val="Textoindependiente"/>
    <w:uiPriority w:val="1"/>
    <w:rsid w:val="00456594"/>
    <w:rPr>
      <w:rFonts w:ascii="Calibri" w:eastAsia="Calibri" w:hAnsi="Calibri" w:cs="Times New Roman"/>
      <w:sz w:val="22"/>
      <w:szCs w:val="22"/>
    </w:rPr>
  </w:style>
  <w:style w:type="paragraph" w:styleId="Sangradetextonormal">
    <w:name w:val="Body Text Indent"/>
    <w:basedOn w:val="Normal"/>
    <w:link w:val="SangradetextonormalCar"/>
    <w:uiPriority w:val="99"/>
    <w:semiHidden/>
    <w:unhideWhenUsed/>
    <w:rsid w:val="00456594"/>
    <w:pPr>
      <w:spacing w:after="120"/>
      <w:ind w:left="283"/>
    </w:pPr>
  </w:style>
  <w:style w:type="character" w:customStyle="1" w:styleId="SangradetextonormalCar">
    <w:name w:val="Sangría de texto normal Car"/>
    <w:basedOn w:val="Fuentedeprrafopredeter"/>
    <w:link w:val="Sangradetextonormal"/>
    <w:uiPriority w:val="99"/>
    <w:semiHidden/>
    <w:rsid w:val="00456594"/>
    <w:rPr>
      <w:rFonts w:ascii="Calibri" w:eastAsia="Calibri" w:hAnsi="Calibri" w:cs="Times New Roman"/>
      <w:sz w:val="22"/>
      <w:szCs w:val="22"/>
    </w:rPr>
  </w:style>
  <w:style w:type="paragraph" w:styleId="Textoindependienteprimerasangra2">
    <w:name w:val="Body Text First Indent 2"/>
    <w:basedOn w:val="Sangradetextonormal"/>
    <w:link w:val="Textoindependienteprimerasangra2Car"/>
    <w:uiPriority w:val="99"/>
    <w:unhideWhenUsed/>
    <w:rsid w:val="00456594"/>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456594"/>
    <w:rPr>
      <w:rFonts w:ascii="Calibri" w:eastAsia="Calibri" w:hAnsi="Calibri" w:cs="Times New Roman"/>
      <w:sz w:val="22"/>
      <w:szCs w:val="22"/>
    </w:rPr>
  </w:style>
  <w:style w:type="paragraph" w:styleId="TDC3">
    <w:name w:val="toc 3"/>
    <w:basedOn w:val="Normal"/>
    <w:next w:val="Normal"/>
    <w:autoRedefine/>
    <w:uiPriority w:val="39"/>
    <w:unhideWhenUsed/>
    <w:rsid w:val="00456594"/>
    <w:pPr>
      <w:spacing w:after="100"/>
      <w:ind w:left="440"/>
    </w:pPr>
  </w:style>
  <w:style w:type="paragraph" w:styleId="Tabladeilustraciones">
    <w:name w:val="table of figures"/>
    <w:basedOn w:val="Normal"/>
    <w:next w:val="Normal"/>
    <w:uiPriority w:val="99"/>
    <w:unhideWhenUsed/>
    <w:rsid w:val="00456594"/>
    <w:pPr>
      <w:spacing w:after="0"/>
    </w:pPr>
    <w:rPr>
      <w:rFonts w:ascii="Arial" w:hAnsi="Arial"/>
    </w:rPr>
  </w:style>
  <w:style w:type="character" w:styleId="Nmerodepgina">
    <w:name w:val="page number"/>
    <w:basedOn w:val="Fuentedeprrafopredeter"/>
    <w:rsid w:val="00456594"/>
  </w:style>
  <w:style w:type="paragraph" w:customStyle="1" w:styleId="msonormal0">
    <w:name w:val="msonormal"/>
    <w:basedOn w:val="Normal"/>
    <w:rsid w:val="00456594"/>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45659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456594"/>
  </w:style>
  <w:style w:type="character" w:customStyle="1" w:styleId="normaltextrun">
    <w:name w:val="normaltextrun"/>
    <w:basedOn w:val="Fuentedeprrafopredeter"/>
    <w:rsid w:val="00456594"/>
  </w:style>
  <w:style w:type="character" w:customStyle="1" w:styleId="eop">
    <w:name w:val="eop"/>
    <w:basedOn w:val="Fuentedeprrafopredeter"/>
    <w:rsid w:val="00456594"/>
  </w:style>
  <w:style w:type="character" w:styleId="Refdecomentario">
    <w:name w:val="annotation reference"/>
    <w:uiPriority w:val="99"/>
    <w:semiHidden/>
    <w:unhideWhenUsed/>
    <w:rsid w:val="00456594"/>
    <w:rPr>
      <w:sz w:val="16"/>
      <w:szCs w:val="16"/>
    </w:rPr>
  </w:style>
  <w:style w:type="paragraph" w:styleId="Textocomentario">
    <w:name w:val="annotation text"/>
    <w:basedOn w:val="Normal"/>
    <w:link w:val="TextocomentarioCar"/>
    <w:unhideWhenUsed/>
    <w:rsid w:val="00456594"/>
    <w:pPr>
      <w:spacing w:after="20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rsid w:val="00456594"/>
    <w:rPr>
      <w:rFonts w:ascii="Cambria" w:eastAsia="Cambria" w:hAnsi="Cambria" w:cs="Times New Roman"/>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456594"/>
    <w:rPr>
      <w:b/>
      <w:bCs/>
    </w:rPr>
  </w:style>
  <w:style w:type="character" w:customStyle="1" w:styleId="AsuntodelcomentarioCar">
    <w:name w:val="Asunto del comentario Car"/>
    <w:basedOn w:val="TextocomentarioCar"/>
    <w:link w:val="Asuntodelcomentario"/>
    <w:uiPriority w:val="99"/>
    <w:semiHidden/>
    <w:rsid w:val="00456594"/>
    <w:rPr>
      <w:rFonts w:ascii="Cambria" w:eastAsia="Cambria" w:hAnsi="Cambria" w:cs="Times New Roman"/>
      <w:b/>
      <w:bCs/>
      <w:sz w:val="20"/>
      <w:szCs w:val="20"/>
      <w:lang w:val="es-ES_tradnl"/>
    </w:rPr>
  </w:style>
  <w:style w:type="paragraph" w:customStyle="1" w:styleId="Default">
    <w:name w:val="Default"/>
    <w:link w:val="DefaultCar"/>
    <w:qFormat/>
    <w:rsid w:val="00456594"/>
    <w:pPr>
      <w:autoSpaceDE w:val="0"/>
      <w:autoSpaceDN w:val="0"/>
      <w:adjustRightInd w:val="0"/>
    </w:pPr>
    <w:rPr>
      <w:rFonts w:ascii="Arial" w:eastAsia="Times New Roman" w:hAnsi="Arial" w:cs="Arial"/>
      <w:color w:val="000000"/>
      <w:lang w:val="es-ES" w:eastAsia="es-ES"/>
    </w:rPr>
  </w:style>
  <w:style w:type="character" w:customStyle="1" w:styleId="DefaultCar">
    <w:name w:val="Default Car"/>
    <w:link w:val="Default"/>
    <w:rsid w:val="00456594"/>
    <w:rPr>
      <w:rFonts w:ascii="Arial" w:eastAsia="Times New Roman" w:hAnsi="Arial" w:cs="Arial"/>
      <w:color w:val="000000"/>
      <w:lang w:val="es-ES" w:eastAsia="es-ES"/>
    </w:rPr>
  </w:style>
  <w:style w:type="character" w:customStyle="1" w:styleId="A9">
    <w:name w:val="A9"/>
    <w:rsid w:val="00456594"/>
    <w:rPr>
      <w:color w:val="000000"/>
      <w:sz w:val="19"/>
      <w:szCs w:val="19"/>
    </w:rPr>
  </w:style>
  <w:style w:type="character" w:customStyle="1" w:styleId="Mencinsinresolver11">
    <w:name w:val="Mención sin resolver11"/>
    <w:uiPriority w:val="99"/>
    <w:semiHidden/>
    <w:unhideWhenUsed/>
    <w:rsid w:val="00456594"/>
    <w:rPr>
      <w:color w:val="808080"/>
      <w:shd w:val="clear" w:color="auto" w:fill="E6E6E6"/>
    </w:rPr>
  </w:style>
  <w:style w:type="paragraph" w:styleId="Textoindependiente3">
    <w:name w:val="Body Text 3"/>
    <w:basedOn w:val="Normal"/>
    <w:link w:val="Textoindependiente3Car"/>
    <w:uiPriority w:val="99"/>
    <w:semiHidden/>
    <w:unhideWhenUsed/>
    <w:rsid w:val="00456594"/>
    <w:pPr>
      <w:spacing w:after="120" w:line="240" w:lineRule="auto"/>
    </w:pPr>
    <w:rPr>
      <w:rFonts w:ascii="Cambria" w:eastAsia="Cambria" w:hAnsi="Cambria"/>
      <w:sz w:val="16"/>
      <w:szCs w:val="16"/>
      <w:lang w:val="es-ES_tradnl"/>
    </w:rPr>
  </w:style>
  <w:style w:type="character" w:customStyle="1" w:styleId="Textoindependiente3Car">
    <w:name w:val="Texto independiente 3 Car"/>
    <w:basedOn w:val="Fuentedeprrafopredeter"/>
    <w:link w:val="Textoindependiente3"/>
    <w:uiPriority w:val="99"/>
    <w:semiHidden/>
    <w:rsid w:val="00456594"/>
    <w:rPr>
      <w:rFonts w:ascii="Cambria" w:eastAsia="Cambria" w:hAnsi="Cambria" w:cs="Times New Roman"/>
      <w:sz w:val="16"/>
      <w:szCs w:val="16"/>
      <w:lang w:val="es-ES_tradnl"/>
    </w:rPr>
  </w:style>
  <w:style w:type="table" w:customStyle="1" w:styleId="TableNormal">
    <w:name w:val="Table Normal"/>
    <w:uiPriority w:val="2"/>
    <w:semiHidden/>
    <w:unhideWhenUsed/>
    <w:qFormat/>
    <w:rsid w:val="00456594"/>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56594"/>
    <w:pPr>
      <w:widowControl w:val="0"/>
      <w:autoSpaceDE w:val="0"/>
      <w:autoSpaceDN w:val="0"/>
      <w:spacing w:after="0" w:line="240" w:lineRule="auto"/>
    </w:pPr>
    <w:rPr>
      <w:rFonts w:ascii="Tahoma" w:eastAsia="Tahoma" w:hAnsi="Tahoma" w:cs="Tahoma"/>
      <w:lang w:eastAsia="es-CO" w:bidi="es-CO"/>
    </w:rPr>
  </w:style>
  <w:style w:type="character" w:customStyle="1" w:styleId="Mencinsinresolver2">
    <w:name w:val="Mención sin resolver2"/>
    <w:uiPriority w:val="99"/>
    <w:semiHidden/>
    <w:unhideWhenUsed/>
    <w:rsid w:val="00456594"/>
    <w:rPr>
      <w:color w:val="605E5C"/>
      <w:shd w:val="clear" w:color="auto" w:fill="E1DFDD"/>
    </w:rPr>
  </w:style>
  <w:style w:type="paragraph" w:customStyle="1" w:styleId="Listavistosa-nfasis12">
    <w:name w:val="Lista vistosa - Énfasis 12"/>
    <w:basedOn w:val="Normal"/>
    <w:link w:val="Listavistosa-nfasis1Car"/>
    <w:uiPriority w:val="34"/>
    <w:qFormat/>
    <w:rsid w:val="00456594"/>
    <w:pPr>
      <w:spacing w:after="0" w:line="240" w:lineRule="auto"/>
      <w:ind w:left="720"/>
      <w:contextualSpacing/>
    </w:pPr>
    <w:rPr>
      <w:lang w:val="es-ES"/>
    </w:rPr>
  </w:style>
  <w:style w:type="character" w:customStyle="1" w:styleId="Listavistosa-nfasis1Car">
    <w:name w:val="Lista vistosa - Énfasis 1 Car"/>
    <w:aliases w:val="TITULO 1 Car,VIÑETAS Car"/>
    <w:link w:val="Listavistosa-nfasis12"/>
    <w:uiPriority w:val="34"/>
    <w:locked/>
    <w:rsid w:val="00456594"/>
    <w:rPr>
      <w:rFonts w:ascii="Calibri" w:eastAsia="Calibri" w:hAnsi="Calibri" w:cs="Times New Roman"/>
      <w:sz w:val="22"/>
      <w:szCs w:val="22"/>
      <w:lang w:val="es-ES"/>
    </w:rPr>
  </w:style>
  <w:style w:type="paragraph" w:customStyle="1" w:styleId="Textopredeterminado1">
    <w:name w:val="Texto predeterminado:1"/>
    <w:basedOn w:val="Normal"/>
    <w:uiPriority w:val="99"/>
    <w:rsid w:val="00456594"/>
    <w:pPr>
      <w:overflowPunct w:val="0"/>
      <w:autoSpaceDE w:val="0"/>
      <w:autoSpaceDN w:val="0"/>
      <w:adjustRightInd w:val="0"/>
      <w:spacing w:after="0" w:line="240" w:lineRule="auto"/>
      <w:textAlignment w:val="baseline"/>
    </w:pPr>
    <w:rPr>
      <w:rFonts w:ascii="Times New Roman" w:eastAsia="Times New Roman" w:hAnsi="Times New Roman"/>
      <w:noProof/>
      <w:sz w:val="24"/>
      <w:szCs w:val="24"/>
      <w:lang w:val="es-ES" w:eastAsia="es-ES"/>
    </w:rPr>
  </w:style>
  <w:style w:type="table" w:styleId="Tabladelista6concolores">
    <w:name w:val="List Table 6 Colorful"/>
    <w:basedOn w:val="Tablanormal"/>
    <w:uiPriority w:val="49"/>
    <w:rsid w:val="00456594"/>
    <w:rPr>
      <w:rFonts w:ascii="Calibri" w:eastAsia="Calibri" w:hAnsi="Calibri" w:cs="Times New Roman"/>
      <w:sz w:val="22"/>
      <w:szCs w:val="22"/>
      <w:lang w:eastAsia="es-MX"/>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aconcuadrcula2-nfasis1">
    <w:name w:val="Grid Table 2 Accent 1"/>
    <w:basedOn w:val="Tablanormal"/>
    <w:uiPriority w:val="47"/>
    <w:rsid w:val="00456594"/>
    <w:rPr>
      <w:rFonts w:ascii="Calibri" w:eastAsia="Calibri" w:hAnsi="Calibri" w:cs="Times New Roman"/>
      <w:sz w:val="20"/>
      <w:szCs w:val="20"/>
      <w:lang w:eastAsia="es-MX"/>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aliases w:val="Normal (Web) Car Car,Normal (Web) Car,Normal (Web) Car Car Car Car Car Car,Normal (Web) Car Car Car Car Car Car Car Car,Normal (Web) Car Car Car Car Car,Normal (Web) Car Car Car Car Car Car Car Car Car Car Car Car,Normal (Web) Car Car Car"/>
    <w:basedOn w:val="Normal"/>
    <w:link w:val="NormalWebCar1"/>
    <w:uiPriority w:val="99"/>
    <w:unhideWhenUsed/>
    <w:qFormat/>
    <w:rsid w:val="0045659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WebCar1">
    <w:name w:val="Normal (Web) Car1"/>
    <w:aliases w:val="Normal (Web) Car Car Car1,Normal (Web) Car Car1,Normal (Web) Car Car Car Car Car Car Car,Normal (Web) Car Car Car Car Car Car Car Car Car,Normal (Web) Car Car Car Car Car Car1,Normal (Web) Car Car Car Car"/>
    <w:link w:val="NormalWeb"/>
    <w:uiPriority w:val="99"/>
    <w:locked/>
    <w:rsid w:val="00456594"/>
    <w:rPr>
      <w:rFonts w:ascii="Times New Roman" w:eastAsia="Times New Roman" w:hAnsi="Times New Roman" w:cs="Times New Roman"/>
      <w:lang w:eastAsia="es-CO"/>
    </w:rPr>
  </w:style>
  <w:style w:type="character" w:styleId="Fuerte">
    <w:name w:val="Strong"/>
    <w:uiPriority w:val="22"/>
    <w:qFormat/>
    <w:rsid w:val="00456594"/>
    <w:rPr>
      <w:b/>
      <w:bCs/>
    </w:rPr>
  </w:style>
  <w:style w:type="paragraph" w:customStyle="1" w:styleId="parrafo">
    <w:name w:val="parrafo"/>
    <w:basedOn w:val="Normal"/>
    <w:rsid w:val="00456594"/>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gmail-msobodytext">
    <w:name w:val="gmail-msobodytext"/>
    <w:basedOn w:val="Normal"/>
    <w:rsid w:val="00456594"/>
    <w:pPr>
      <w:spacing w:before="100" w:beforeAutospacing="1" w:after="100" w:afterAutospacing="1" w:line="240" w:lineRule="auto"/>
    </w:pPr>
    <w:rPr>
      <w:rFonts w:ascii="Times New Roman" w:hAnsi="Times New Roman"/>
      <w:sz w:val="24"/>
      <w:szCs w:val="24"/>
      <w:lang w:eastAsia="es-CO"/>
    </w:rPr>
  </w:style>
  <w:style w:type="paragraph" w:customStyle="1" w:styleId="gmail-default">
    <w:name w:val="gmail-default"/>
    <w:basedOn w:val="Normal"/>
    <w:rsid w:val="00456594"/>
    <w:pPr>
      <w:spacing w:before="100" w:beforeAutospacing="1" w:after="100" w:afterAutospacing="1" w:line="240" w:lineRule="auto"/>
    </w:pPr>
    <w:rPr>
      <w:rFonts w:ascii="Times New Roman" w:hAnsi="Times New Roman"/>
      <w:sz w:val="24"/>
      <w:szCs w:val="24"/>
      <w:lang w:eastAsia="es-CO"/>
    </w:rPr>
  </w:style>
  <w:style w:type="paragraph" w:customStyle="1" w:styleId="gmail-msolistparagraph">
    <w:name w:val="gmail-msolistparagraph"/>
    <w:basedOn w:val="Normal"/>
    <w:rsid w:val="00456594"/>
    <w:pPr>
      <w:spacing w:before="100" w:beforeAutospacing="1" w:after="100" w:afterAutospacing="1" w:line="240" w:lineRule="auto"/>
    </w:pPr>
    <w:rPr>
      <w:rFonts w:ascii="Times New Roman" w:hAnsi="Times New Roman"/>
      <w:sz w:val="24"/>
      <w:szCs w:val="24"/>
      <w:lang w:eastAsia="es-CO"/>
    </w:rPr>
  </w:style>
  <w:style w:type="table" w:styleId="Tablaconcuadrcula4-nfasis6">
    <w:name w:val="Grid Table 4 Accent 6"/>
    <w:basedOn w:val="Tablanormal"/>
    <w:uiPriority w:val="47"/>
    <w:rsid w:val="00456594"/>
    <w:rPr>
      <w:rFonts w:ascii="Calibri" w:eastAsia="Calibri" w:hAnsi="Calibri" w:cs="Times New Roman"/>
      <w:sz w:val="20"/>
      <w:szCs w:val="20"/>
      <w:lang w:eastAsia="es-MX"/>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Prrafodelista">
    <w:name w:val="List Paragraph"/>
    <w:aliases w:val="VIÑETAS,titulo 3,Bullets,HOJA,Bolita,List Paragraph,Párrafo de lista4,BOLADEF,Párrafo de lista3,Párrafo de lista21,BOLA,Nivel 1 OS,Colorful List Accent 1,Colorful List - Accent 11,Llista Nivell1,Bullet List,FooterText,numbered,TITULO 1"/>
    <w:basedOn w:val="Normal"/>
    <w:link w:val="PrrafodelistaCar"/>
    <w:uiPriority w:val="34"/>
    <w:qFormat/>
    <w:rsid w:val="00456594"/>
    <w:pPr>
      <w:spacing w:after="200" w:line="276" w:lineRule="auto"/>
      <w:ind w:left="720"/>
      <w:contextualSpacing/>
    </w:pPr>
  </w:style>
  <w:style w:type="paragraph" w:styleId="Sinespaciado">
    <w:name w:val="No Spacing"/>
    <w:link w:val="SinespaciadoCar"/>
    <w:uiPriority w:val="1"/>
    <w:qFormat/>
    <w:rsid w:val="00456594"/>
    <w:rPr>
      <w:rFonts w:ascii="Calibri" w:eastAsia="Times New Roman" w:hAnsi="Calibri" w:cs="Times New Roman"/>
      <w:sz w:val="22"/>
      <w:szCs w:val="22"/>
      <w:lang w:eastAsia="es-CO"/>
    </w:rPr>
  </w:style>
  <w:style w:type="character" w:customStyle="1" w:styleId="SinespaciadoCar">
    <w:name w:val="Sin espaciado Car"/>
    <w:link w:val="Sinespaciado"/>
    <w:uiPriority w:val="1"/>
    <w:locked/>
    <w:rsid w:val="00456594"/>
    <w:rPr>
      <w:rFonts w:ascii="Calibri" w:eastAsia="Times New Roman" w:hAnsi="Calibri" w:cs="Times New Roman"/>
      <w:sz w:val="22"/>
      <w:szCs w:val="22"/>
      <w:lang w:eastAsia="es-CO"/>
    </w:rPr>
  </w:style>
  <w:style w:type="character" w:styleId="Mencinsinresolver">
    <w:name w:val="Unresolved Mention"/>
    <w:basedOn w:val="Fuentedeprrafopredeter"/>
    <w:uiPriority w:val="99"/>
    <w:semiHidden/>
    <w:unhideWhenUsed/>
    <w:rsid w:val="00BD2E6C"/>
    <w:rPr>
      <w:color w:val="605E5C"/>
      <w:shd w:val="clear" w:color="auto" w:fill="E1DFDD"/>
    </w:rPr>
  </w:style>
  <w:style w:type="character" w:customStyle="1" w:styleId="Textoindependiente2Car">
    <w:name w:val="Texto independiente 2 Car"/>
    <w:basedOn w:val="Fuentedeprrafopredeter"/>
    <w:link w:val="Textoindependiente2"/>
    <w:uiPriority w:val="99"/>
    <w:semiHidden/>
    <w:rsid w:val="00F903EC"/>
    <w:rPr>
      <w:rFonts w:ascii="Calibri" w:eastAsia="Calibri" w:hAnsi="Calibri" w:cs="Times New Roman"/>
      <w:sz w:val="22"/>
      <w:szCs w:val="22"/>
    </w:rPr>
  </w:style>
  <w:style w:type="paragraph" w:styleId="Textoindependiente2">
    <w:name w:val="Body Text 2"/>
    <w:basedOn w:val="Normal"/>
    <w:link w:val="Textoindependiente2Car"/>
    <w:uiPriority w:val="99"/>
    <w:semiHidden/>
    <w:unhideWhenUsed/>
    <w:rsid w:val="00F903EC"/>
    <w:pPr>
      <w:spacing w:after="120"/>
    </w:pPr>
  </w:style>
  <w:style w:type="paragraph" w:customStyle="1" w:styleId="xl68">
    <w:name w:val="xl68"/>
    <w:basedOn w:val="Normal"/>
    <w:rsid w:val="00F903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CO"/>
    </w:rPr>
  </w:style>
  <w:style w:type="paragraph" w:customStyle="1" w:styleId="xl69">
    <w:name w:val="xl69"/>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0"/>
      <w:szCs w:val="20"/>
      <w:lang w:eastAsia="es-CO"/>
    </w:rPr>
  </w:style>
  <w:style w:type="paragraph" w:customStyle="1" w:styleId="xl70">
    <w:name w:val="xl70"/>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sz w:val="20"/>
      <w:szCs w:val="20"/>
      <w:lang w:eastAsia="es-CO"/>
    </w:rPr>
  </w:style>
  <w:style w:type="paragraph" w:customStyle="1" w:styleId="xl71">
    <w:name w:val="xl71"/>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CO"/>
    </w:rPr>
  </w:style>
  <w:style w:type="paragraph" w:customStyle="1" w:styleId="xl72">
    <w:name w:val="xl72"/>
    <w:basedOn w:val="Normal"/>
    <w:rsid w:val="00F903EC"/>
    <w:pPr>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73">
    <w:name w:val="xl73"/>
    <w:basedOn w:val="Normal"/>
    <w:rsid w:val="00F903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Times New Roman" w:eastAsia="Times New Roman" w:hAnsi="Times New Roman"/>
      <w:b/>
      <w:bCs/>
      <w:sz w:val="20"/>
      <w:szCs w:val="20"/>
      <w:lang w:eastAsia="es-CO"/>
    </w:rPr>
  </w:style>
  <w:style w:type="paragraph" w:customStyle="1" w:styleId="xl74">
    <w:name w:val="xl74"/>
    <w:basedOn w:val="Normal"/>
    <w:rsid w:val="00F903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75">
    <w:name w:val="xl75"/>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CO"/>
    </w:rPr>
  </w:style>
  <w:style w:type="paragraph" w:customStyle="1" w:styleId="xl76">
    <w:name w:val="xl76"/>
    <w:basedOn w:val="Normal"/>
    <w:rsid w:val="00F903EC"/>
    <w:pPr>
      <w:pBdr>
        <w:top w:val="single" w:sz="4" w:space="0" w:color="auto"/>
        <w:left w:val="single" w:sz="4" w:space="0" w:color="auto"/>
        <w:bottom w:val="single" w:sz="4" w:space="0" w:color="auto"/>
        <w:right w:val="single" w:sz="8" w:space="0" w:color="auto"/>
      </w:pBdr>
      <w:shd w:val="clear" w:color="000000" w:fill="DBDBDB"/>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es-CO"/>
    </w:rPr>
  </w:style>
  <w:style w:type="paragraph" w:customStyle="1" w:styleId="xl77">
    <w:name w:val="xl77"/>
    <w:basedOn w:val="Normal"/>
    <w:rsid w:val="00F903E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es-CO"/>
    </w:rPr>
  </w:style>
  <w:style w:type="paragraph" w:customStyle="1" w:styleId="xl78">
    <w:name w:val="xl78"/>
    <w:basedOn w:val="Normal"/>
    <w:rsid w:val="00F903EC"/>
    <w:pPr>
      <w:pBdr>
        <w:top w:val="single" w:sz="4" w:space="0" w:color="auto"/>
        <w:left w:val="single" w:sz="4"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es-CO"/>
    </w:rPr>
  </w:style>
  <w:style w:type="paragraph" w:customStyle="1" w:styleId="xl79">
    <w:name w:val="xl79"/>
    <w:basedOn w:val="Normal"/>
    <w:rsid w:val="00F903EC"/>
    <w:pPr>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80">
    <w:name w:val="xl80"/>
    <w:basedOn w:val="Normal"/>
    <w:rsid w:val="00F903EC"/>
    <w:pPr>
      <w:pBdr>
        <w:top w:val="single" w:sz="4" w:space="0" w:color="auto"/>
        <w:left w:val="single" w:sz="8"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81">
    <w:name w:val="xl81"/>
    <w:basedOn w:val="Normal"/>
    <w:rsid w:val="00F903E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CO"/>
    </w:rPr>
  </w:style>
  <w:style w:type="paragraph" w:customStyle="1" w:styleId="xl82">
    <w:name w:val="xl82"/>
    <w:basedOn w:val="Normal"/>
    <w:rsid w:val="00F903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83">
    <w:name w:val="xl83"/>
    <w:basedOn w:val="Normal"/>
    <w:rsid w:val="00F903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84">
    <w:name w:val="xl84"/>
    <w:basedOn w:val="Normal"/>
    <w:rsid w:val="00F903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85">
    <w:name w:val="xl85"/>
    <w:basedOn w:val="Normal"/>
    <w:rsid w:val="00F903EC"/>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86">
    <w:name w:val="xl86"/>
    <w:basedOn w:val="Normal"/>
    <w:rsid w:val="00F903EC"/>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textAlignment w:val="center"/>
    </w:pPr>
    <w:rPr>
      <w:rFonts w:ascii="Times New Roman" w:eastAsia="Times New Roman" w:hAnsi="Times New Roman"/>
      <w:b/>
      <w:bCs/>
      <w:sz w:val="20"/>
      <w:szCs w:val="20"/>
      <w:lang w:eastAsia="es-CO"/>
    </w:rPr>
  </w:style>
  <w:style w:type="paragraph" w:customStyle="1" w:styleId="xl87">
    <w:name w:val="xl87"/>
    <w:basedOn w:val="Normal"/>
    <w:rsid w:val="00F903EC"/>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88">
    <w:name w:val="xl88"/>
    <w:basedOn w:val="Normal"/>
    <w:rsid w:val="00F903EC"/>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89">
    <w:name w:val="xl89"/>
    <w:basedOn w:val="Normal"/>
    <w:rsid w:val="00F903EC"/>
    <w:pPr>
      <w:pBdr>
        <w:top w:val="single" w:sz="4" w:space="0" w:color="auto"/>
        <w:left w:val="single" w:sz="8"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90">
    <w:name w:val="xl90"/>
    <w:basedOn w:val="Normal"/>
    <w:rsid w:val="00F903EC"/>
    <w:pPr>
      <w:pBdr>
        <w:top w:val="single" w:sz="4" w:space="0" w:color="auto"/>
        <w:left w:val="single" w:sz="4" w:space="0" w:color="auto"/>
        <w:bottom w:val="single" w:sz="4" w:space="0" w:color="auto"/>
        <w:right w:val="single" w:sz="8"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91">
    <w:name w:val="xl91"/>
    <w:basedOn w:val="Normal"/>
    <w:rsid w:val="00F903EC"/>
    <w:pPr>
      <w:pBdr>
        <w:top w:val="single" w:sz="4" w:space="0" w:color="auto"/>
        <w:left w:val="single" w:sz="8" w:space="0" w:color="auto"/>
        <w:bottom w:val="single" w:sz="4" w:space="0" w:color="auto"/>
        <w:right w:val="single" w:sz="4"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92">
    <w:name w:val="xl92"/>
    <w:basedOn w:val="Normal"/>
    <w:rsid w:val="00F903EC"/>
    <w:pPr>
      <w:pBdr>
        <w:top w:val="single" w:sz="4" w:space="0" w:color="auto"/>
        <w:left w:val="single" w:sz="4" w:space="0" w:color="auto"/>
        <w:bottom w:val="single" w:sz="4" w:space="0" w:color="auto"/>
        <w:right w:val="single" w:sz="8" w:space="0" w:color="auto"/>
      </w:pBdr>
      <w:shd w:val="clear" w:color="000000" w:fill="FFD966"/>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93">
    <w:name w:val="xl93"/>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20"/>
      <w:szCs w:val="20"/>
      <w:lang w:eastAsia="es-CO"/>
    </w:rPr>
  </w:style>
  <w:style w:type="paragraph" w:customStyle="1" w:styleId="xl94">
    <w:name w:val="xl94"/>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0"/>
      <w:szCs w:val="20"/>
      <w:lang w:eastAsia="es-CO"/>
    </w:rPr>
  </w:style>
  <w:style w:type="paragraph" w:customStyle="1" w:styleId="xl95">
    <w:name w:val="xl95"/>
    <w:basedOn w:val="Normal"/>
    <w:rsid w:val="00F903EC"/>
    <w:pPr>
      <w:pBdr>
        <w:top w:val="single" w:sz="4" w:space="0" w:color="auto"/>
        <w:left w:val="single" w:sz="8"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b/>
      <w:bCs/>
      <w:sz w:val="20"/>
      <w:szCs w:val="20"/>
      <w:lang w:eastAsia="es-CO"/>
    </w:rPr>
  </w:style>
  <w:style w:type="paragraph" w:customStyle="1" w:styleId="xl96">
    <w:name w:val="xl96"/>
    <w:basedOn w:val="Normal"/>
    <w:rsid w:val="00F903E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both"/>
      <w:textAlignment w:val="center"/>
    </w:pPr>
    <w:rPr>
      <w:rFonts w:ascii="Times New Roman" w:eastAsia="Times New Roman" w:hAnsi="Times New Roman"/>
      <w:b/>
      <w:bCs/>
      <w:sz w:val="20"/>
      <w:szCs w:val="20"/>
      <w:lang w:eastAsia="es-CO"/>
    </w:rPr>
  </w:style>
  <w:style w:type="paragraph" w:customStyle="1" w:styleId="xl97">
    <w:name w:val="xl97"/>
    <w:basedOn w:val="Normal"/>
    <w:rsid w:val="00F903E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sz w:val="20"/>
      <w:szCs w:val="20"/>
      <w:lang w:eastAsia="es-CO"/>
    </w:rPr>
  </w:style>
  <w:style w:type="paragraph" w:customStyle="1" w:styleId="xl98">
    <w:name w:val="xl98"/>
    <w:basedOn w:val="Normal"/>
    <w:rsid w:val="00F903EC"/>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es-CO"/>
    </w:rPr>
  </w:style>
  <w:style w:type="paragraph" w:customStyle="1" w:styleId="xl99">
    <w:name w:val="xl99"/>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es-CO"/>
    </w:rPr>
  </w:style>
  <w:style w:type="paragraph" w:customStyle="1" w:styleId="xl100">
    <w:name w:val="xl100"/>
    <w:basedOn w:val="Normal"/>
    <w:rsid w:val="00F903E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es-CO"/>
    </w:rPr>
  </w:style>
  <w:style w:type="paragraph" w:customStyle="1" w:styleId="xl101">
    <w:name w:val="xl101"/>
    <w:basedOn w:val="Normal"/>
    <w:rsid w:val="00F903EC"/>
    <w:pPr>
      <w:pBdr>
        <w:top w:val="single" w:sz="4" w:space="0" w:color="auto"/>
        <w:left w:val="single" w:sz="8"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102">
    <w:name w:val="xl102"/>
    <w:basedOn w:val="Normal"/>
    <w:rsid w:val="00F903E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b/>
      <w:bCs/>
      <w:sz w:val="20"/>
      <w:szCs w:val="20"/>
      <w:lang w:eastAsia="es-CO"/>
    </w:rPr>
  </w:style>
  <w:style w:type="paragraph" w:customStyle="1" w:styleId="xl103">
    <w:name w:val="xl103"/>
    <w:basedOn w:val="Normal"/>
    <w:rsid w:val="00F903E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pPr>
    <w:rPr>
      <w:rFonts w:ascii="Times New Roman" w:eastAsia="Times New Roman" w:hAnsi="Times New Roman"/>
      <w:sz w:val="20"/>
      <w:szCs w:val="20"/>
      <w:lang w:eastAsia="es-CO"/>
    </w:rPr>
  </w:style>
  <w:style w:type="paragraph" w:customStyle="1" w:styleId="xl104">
    <w:name w:val="xl104"/>
    <w:basedOn w:val="Normal"/>
    <w:rsid w:val="00F903EC"/>
    <w:pPr>
      <w:pBdr>
        <w:top w:val="single" w:sz="4" w:space="0" w:color="auto"/>
        <w:left w:val="single" w:sz="8"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eastAsia="Times New Roman" w:hAnsi="Times New Roman"/>
      <w:b/>
      <w:bCs/>
      <w:sz w:val="20"/>
      <w:szCs w:val="20"/>
      <w:lang w:eastAsia="es-CO"/>
    </w:rPr>
  </w:style>
  <w:style w:type="paragraph" w:customStyle="1" w:styleId="xl105">
    <w:name w:val="xl105"/>
    <w:basedOn w:val="Normal"/>
    <w:rsid w:val="00F903EC"/>
    <w:pPr>
      <w:pBdr>
        <w:top w:val="single" w:sz="4" w:space="0" w:color="auto"/>
        <w:left w:val="single" w:sz="8"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106">
    <w:name w:val="xl106"/>
    <w:basedOn w:val="Normal"/>
    <w:rsid w:val="00F903E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es-CO"/>
    </w:rPr>
  </w:style>
  <w:style w:type="paragraph" w:customStyle="1" w:styleId="xl107">
    <w:name w:val="xl107"/>
    <w:basedOn w:val="Normal"/>
    <w:rsid w:val="00F903E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eastAsia="Times New Roman" w:hAnsi="Times New Roman"/>
      <w:b/>
      <w:bCs/>
      <w:sz w:val="20"/>
      <w:szCs w:val="20"/>
      <w:lang w:eastAsia="es-CO"/>
    </w:rPr>
  </w:style>
  <w:style w:type="paragraph" w:customStyle="1" w:styleId="xl108">
    <w:name w:val="xl108"/>
    <w:basedOn w:val="Normal"/>
    <w:rsid w:val="00F903E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right"/>
    </w:pPr>
    <w:rPr>
      <w:rFonts w:ascii="Times New Roman" w:eastAsia="Times New Roman" w:hAnsi="Times New Roman"/>
      <w:sz w:val="20"/>
      <w:szCs w:val="20"/>
      <w:lang w:eastAsia="es-CO"/>
    </w:rPr>
  </w:style>
  <w:style w:type="paragraph" w:customStyle="1" w:styleId="xl109">
    <w:name w:val="xl109"/>
    <w:basedOn w:val="Normal"/>
    <w:rsid w:val="00F903E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right"/>
    </w:pPr>
    <w:rPr>
      <w:rFonts w:ascii="Times New Roman" w:eastAsia="Times New Roman" w:hAnsi="Times New Roman"/>
      <w:sz w:val="20"/>
      <w:szCs w:val="20"/>
      <w:lang w:eastAsia="es-CO"/>
    </w:rPr>
  </w:style>
  <w:style w:type="paragraph" w:customStyle="1" w:styleId="xl110">
    <w:name w:val="xl110"/>
    <w:basedOn w:val="Normal"/>
    <w:rsid w:val="00F903EC"/>
    <w:pPr>
      <w:pBdr>
        <w:top w:val="single" w:sz="4" w:space="0" w:color="auto"/>
        <w:left w:val="single" w:sz="4" w:space="0" w:color="auto"/>
        <w:bottom w:val="single" w:sz="4" w:space="0" w:color="auto"/>
        <w:right w:val="single" w:sz="8" w:space="0" w:color="auto"/>
      </w:pBdr>
      <w:shd w:val="clear" w:color="000000" w:fill="B4C6E7"/>
      <w:spacing w:before="100" w:beforeAutospacing="1" w:after="100" w:afterAutospacing="1" w:line="240" w:lineRule="auto"/>
      <w:jc w:val="right"/>
    </w:pPr>
    <w:rPr>
      <w:rFonts w:ascii="Times New Roman" w:eastAsia="Times New Roman" w:hAnsi="Times New Roman"/>
      <w:sz w:val="20"/>
      <w:szCs w:val="20"/>
      <w:lang w:eastAsia="es-CO"/>
    </w:rPr>
  </w:style>
  <w:style w:type="paragraph" w:customStyle="1" w:styleId="xl111">
    <w:name w:val="xl111"/>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0"/>
      <w:szCs w:val="20"/>
      <w:lang w:eastAsia="es-CO"/>
    </w:rPr>
  </w:style>
  <w:style w:type="paragraph" w:customStyle="1" w:styleId="xl112">
    <w:name w:val="xl112"/>
    <w:basedOn w:val="Normal"/>
    <w:rsid w:val="00F903E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olor w:val="000000"/>
      <w:sz w:val="20"/>
      <w:szCs w:val="20"/>
      <w:lang w:eastAsia="es-CO"/>
    </w:rPr>
  </w:style>
  <w:style w:type="paragraph" w:customStyle="1" w:styleId="xl113">
    <w:name w:val="xl113"/>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0"/>
      <w:szCs w:val="20"/>
      <w:lang w:eastAsia="es-CO"/>
    </w:rPr>
  </w:style>
  <w:style w:type="paragraph" w:customStyle="1" w:styleId="xl114">
    <w:name w:val="xl114"/>
    <w:basedOn w:val="Normal"/>
    <w:rsid w:val="00F903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right"/>
    </w:pPr>
    <w:rPr>
      <w:rFonts w:ascii="Times New Roman" w:eastAsia="Times New Roman" w:hAnsi="Times New Roman"/>
      <w:sz w:val="20"/>
      <w:szCs w:val="20"/>
      <w:lang w:eastAsia="es-CO"/>
    </w:rPr>
  </w:style>
  <w:style w:type="paragraph" w:customStyle="1" w:styleId="xl115">
    <w:name w:val="xl115"/>
    <w:basedOn w:val="Normal"/>
    <w:rsid w:val="00F903E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right"/>
    </w:pPr>
    <w:rPr>
      <w:rFonts w:ascii="Times New Roman" w:eastAsia="Times New Roman" w:hAnsi="Times New Roman"/>
      <w:sz w:val="20"/>
      <w:szCs w:val="20"/>
      <w:lang w:eastAsia="es-CO"/>
    </w:rPr>
  </w:style>
  <w:style w:type="paragraph" w:customStyle="1" w:styleId="xl116">
    <w:name w:val="xl116"/>
    <w:basedOn w:val="Normal"/>
    <w:rsid w:val="00F903EC"/>
    <w:pPr>
      <w:pBdr>
        <w:top w:val="single" w:sz="4" w:space="0" w:color="auto"/>
        <w:left w:val="single" w:sz="4" w:space="0" w:color="auto"/>
        <w:bottom w:val="single" w:sz="4" w:space="0" w:color="auto"/>
        <w:right w:val="single" w:sz="8" w:space="0" w:color="auto"/>
      </w:pBdr>
      <w:shd w:val="clear" w:color="000000" w:fill="D0CECE"/>
      <w:spacing w:before="100" w:beforeAutospacing="1" w:after="100" w:afterAutospacing="1" w:line="240" w:lineRule="auto"/>
      <w:jc w:val="right"/>
    </w:pPr>
    <w:rPr>
      <w:rFonts w:ascii="Times New Roman" w:eastAsia="Times New Roman" w:hAnsi="Times New Roman"/>
      <w:sz w:val="20"/>
      <w:szCs w:val="20"/>
      <w:lang w:eastAsia="es-CO"/>
    </w:rPr>
  </w:style>
  <w:style w:type="paragraph" w:customStyle="1" w:styleId="xl117">
    <w:name w:val="xl117"/>
    <w:basedOn w:val="Normal"/>
    <w:rsid w:val="00F903EC"/>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right"/>
      <w:textAlignment w:val="center"/>
    </w:pPr>
    <w:rPr>
      <w:rFonts w:ascii="Times New Roman" w:eastAsia="Times New Roman" w:hAnsi="Times New Roman"/>
      <w:b/>
      <w:bCs/>
      <w:sz w:val="20"/>
      <w:szCs w:val="20"/>
      <w:lang w:eastAsia="es-CO"/>
    </w:rPr>
  </w:style>
  <w:style w:type="paragraph" w:customStyle="1" w:styleId="xl118">
    <w:name w:val="xl118"/>
    <w:basedOn w:val="Normal"/>
    <w:rsid w:val="00F903EC"/>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jc w:val="right"/>
      <w:textAlignment w:val="center"/>
    </w:pPr>
    <w:rPr>
      <w:rFonts w:ascii="Times New Roman" w:eastAsia="Times New Roman" w:hAnsi="Times New Roman"/>
      <w:b/>
      <w:bCs/>
      <w:sz w:val="20"/>
      <w:szCs w:val="20"/>
      <w:lang w:eastAsia="es-CO"/>
    </w:rPr>
  </w:style>
  <w:style w:type="paragraph" w:customStyle="1" w:styleId="xl119">
    <w:name w:val="xl119"/>
    <w:basedOn w:val="Normal"/>
    <w:rsid w:val="00F903EC"/>
    <w:pPr>
      <w:pBdr>
        <w:top w:val="single" w:sz="4" w:space="0" w:color="auto"/>
        <w:left w:val="single" w:sz="4" w:space="0" w:color="auto"/>
        <w:bottom w:val="single" w:sz="4" w:space="0" w:color="auto"/>
        <w:right w:val="single" w:sz="8" w:space="0" w:color="auto"/>
      </w:pBdr>
      <w:shd w:val="clear" w:color="000000" w:fill="FFD966"/>
      <w:spacing w:before="100" w:beforeAutospacing="1" w:after="100" w:afterAutospacing="1" w:line="240" w:lineRule="auto"/>
      <w:jc w:val="right"/>
      <w:textAlignment w:val="center"/>
    </w:pPr>
    <w:rPr>
      <w:rFonts w:ascii="Times New Roman" w:eastAsia="Times New Roman" w:hAnsi="Times New Roman"/>
      <w:b/>
      <w:bCs/>
      <w:sz w:val="20"/>
      <w:szCs w:val="20"/>
      <w:lang w:eastAsia="es-CO"/>
    </w:rPr>
  </w:style>
  <w:style w:type="paragraph" w:customStyle="1" w:styleId="xl120">
    <w:name w:val="xl120"/>
    <w:basedOn w:val="Normal"/>
    <w:rsid w:val="00F903E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right"/>
      <w:textAlignment w:val="center"/>
    </w:pPr>
    <w:rPr>
      <w:rFonts w:ascii="Times New Roman" w:eastAsia="Times New Roman" w:hAnsi="Times New Roman"/>
      <w:sz w:val="20"/>
      <w:szCs w:val="20"/>
      <w:lang w:eastAsia="es-CO"/>
    </w:rPr>
  </w:style>
  <w:style w:type="paragraph" w:customStyle="1" w:styleId="xl121">
    <w:name w:val="xl121"/>
    <w:basedOn w:val="Normal"/>
    <w:rsid w:val="00F903E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right"/>
      <w:textAlignment w:val="center"/>
    </w:pPr>
    <w:rPr>
      <w:rFonts w:ascii="Times New Roman" w:eastAsia="Times New Roman" w:hAnsi="Times New Roman"/>
      <w:sz w:val="20"/>
      <w:szCs w:val="20"/>
      <w:lang w:eastAsia="es-CO"/>
    </w:rPr>
  </w:style>
  <w:style w:type="paragraph" w:customStyle="1" w:styleId="xl122">
    <w:name w:val="xl122"/>
    <w:basedOn w:val="Normal"/>
    <w:rsid w:val="00F903EC"/>
    <w:pPr>
      <w:pBdr>
        <w:top w:val="single" w:sz="4" w:space="0" w:color="auto"/>
        <w:left w:val="single" w:sz="4" w:space="0" w:color="auto"/>
        <w:bottom w:val="single" w:sz="4" w:space="0" w:color="auto"/>
        <w:right w:val="single" w:sz="8" w:space="0" w:color="auto"/>
      </w:pBdr>
      <w:shd w:val="clear" w:color="000000" w:fill="B4C6E7"/>
      <w:spacing w:before="100" w:beforeAutospacing="1" w:after="100" w:afterAutospacing="1" w:line="240" w:lineRule="auto"/>
      <w:jc w:val="right"/>
      <w:textAlignment w:val="center"/>
    </w:pPr>
    <w:rPr>
      <w:rFonts w:ascii="Times New Roman" w:eastAsia="Times New Roman" w:hAnsi="Times New Roman"/>
      <w:sz w:val="20"/>
      <w:szCs w:val="20"/>
      <w:lang w:eastAsia="es-CO"/>
    </w:rPr>
  </w:style>
  <w:style w:type="paragraph" w:customStyle="1" w:styleId="xl123">
    <w:name w:val="xl123"/>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0"/>
      <w:szCs w:val="20"/>
      <w:lang w:eastAsia="es-CO"/>
    </w:rPr>
  </w:style>
  <w:style w:type="paragraph" w:customStyle="1" w:styleId="xl124">
    <w:name w:val="xl124"/>
    <w:basedOn w:val="Normal"/>
    <w:rsid w:val="00F903E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0"/>
      <w:szCs w:val="20"/>
      <w:lang w:eastAsia="es-CO"/>
    </w:rPr>
  </w:style>
  <w:style w:type="paragraph" w:customStyle="1" w:styleId="xl125">
    <w:name w:val="xl125"/>
    <w:basedOn w:val="Normal"/>
    <w:rsid w:val="00F903EC"/>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sz w:val="20"/>
      <w:szCs w:val="20"/>
      <w:lang w:eastAsia="es-CO"/>
    </w:rPr>
  </w:style>
  <w:style w:type="paragraph" w:customStyle="1" w:styleId="xl126">
    <w:name w:val="xl126"/>
    <w:basedOn w:val="Normal"/>
    <w:rsid w:val="00F903EC"/>
    <w:pPr>
      <w:pBdr>
        <w:top w:val="single" w:sz="4" w:space="0" w:color="auto"/>
        <w:left w:val="single" w:sz="8" w:space="0" w:color="auto"/>
        <w:bottom w:val="single" w:sz="8" w:space="0" w:color="auto"/>
      </w:pBdr>
      <w:shd w:val="clear" w:color="000000" w:fill="DBDBDB"/>
      <w:spacing w:before="100" w:beforeAutospacing="1" w:after="100" w:afterAutospacing="1" w:line="240" w:lineRule="auto"/>
      <w:jc w:val="right"/>
      <w:textAlignment w:val="top"/>
    </w:pPr>
    <w:rPr>
      <w:rFonts w:ascii="Times New Roman" w:eastAsia="Times New Roman" w:hAnsi="Times New Roman"/>
      <w:b/>
      <w:bCs/>
      <w:sz w:val="20"/>
      <w:szCs w:val="20"/>
      <w:lang w:eastAsia="es-CO"/>
    </w:rPr>
  </w:style>
  <w:style w:type="paragraph" w:customStyle="1" w:styleId="xl127">
    <w:name w:val="xl127"/>
    <w:basedOn w:val="Normal"/>
    <w:rsid w:val="00F903EC"/>
    <w:pPr>
      <w:pBdr>
        <w:top w:val="single" w:sz="4" w:space="0" w:color="auto"/>
        <w:bottom w:val="single" w:sz="8" w:space="0" w:color="auto"/>
      </w:pBdr>
      <w:shd w:val="clear" w:color="000000" w:fill="DBDBDB"/>
      <w:spacing w:before="100" w:beforeAutospacing="1" w:after="100" w:afterAutospacing="1" w:line="240" w:lineRule="auto"/>
      <w:jc w:val="right"/>
      <w:textAlignment w:val="top"/>
    </w:pPr>
    <w:rPr>
      <w:rFonts w:ascii="Times New Roman" w:eastAsia="Times New Roman" w:hAnsi="Times New Roman"/>
      <w:b/>
      <w:bCs/>
      <w:sz w:val="20"/>
      <w:szCs w:val="20"/>
      <w:lang w:eastAsia="es-CO"/>
    </w:rPr>
  </w:style>
  <w:style w:type="paragraph" w:customStyle="1" w:styleId="xl128">
    <w:name w:val="xl128"/>
    <w:basedOn w:val="Normal"/>
    <w:rsid w:val="00F903EC"/>
    <w:pPr>
      <w:pBdr>
        <w:top w:val="single" w:sz="4" w:space="0" w:color="auto"/>
        <w:bottom w:val="single" w:sz="8" w:space="0" w:color="auto"/>
        <w:right w:val="single" w:sz="4" w:space="0" w:color="auto"/>
      </w:pBdr>
      <w:shd w:val="clear" w:color="000000" w:fill="DBDBDB"/>
      <w:spacing w:before="100" w:beforeAutospacing="1" w:after="100" w:afterAutospacing="1" w:line="240" w:lineRule="auto"/>
      <w:jc w:val="right"/>
      <w:textAlignment w:val="top"/>
    </w:pPr>
    <w:rPr>
      <w:rFonts w:ascii="Times New Roman" w:eastAsia="Times New Roman" w:hAnsi="Times New Roman"/>
      <w:b/>
      <w:bCs/>
      <w:sz w:val="20"/>
      <w:szCs w:val="20"/>
      <w:lang w:eastAsia="es-CO"/>
    </w:rPr>
  </w:style>
  <w:style w:type="paragraph" w:customStyle="1" w:styleId="xl129">
    <w:name w:val="xl129"/>
    <w:basedOn w:val="Normal"/>
    <w:rsid w:val="00F903EC"/>
    <w:pPr>
      <w:pBdr>
        <w:top w:val="single" w:sz="4" w:space="0" w:color="auto"/>
        <w:left w:val="single" w:sz="8" w:space="0" w:color="auto"/>
        <w:bottom w:val="single" w:sz="4" w:space="0" w:color="auto"/>
      </w:pBdr>
      <w:shd w:val="clear" w:color="000000" w:fill="DBDBDB"/>
      <w:spacing w:before="100" w:beforeAutospacing="1" w:after="100" w:afterAutospacing="1" w:line="240" w:lineRule="auto"/>
      <w:jc w:val="right"/>
      <w:textAlignment w:val="top"/>
    </w:pPr>
    <w:rPr>
      <w:rFonts w:ascii="Times New Roman" w:eastAsia="Times New Roman" w:hAnsi="Times New Roman"/>
      <w:b/>
      <w:bCs/>
      <w:sz w:val="20"/>
      <w:szCs w:val="20"/>
      <w:lang w:eastAsia="es-CO"/>
    </w:rPr>
  </w:style>
  <w:style w:type="paragraph" w:customStyle="1" w:styleId="xl130">
    <w:name w:val="xl130"/>
    <w:basedOn w:val="Normal"/>
    <w:rsid w:val="00F903EC"/>
    <w:pPr>
      <w:pBdr>
        <w:top w:val="single" w:sz="4" w:space="0" w:color="auto"/>
        <w:bottom w:val="single" w:sz="4" w:space="0" w:color="auto"/>
      </w:pBdr>
      <w:shd w:val="clear" w:color="000000" w:fill="DBDBDB"/>
      <w:spacing w:before="100" w:beforeAutospacing="1" w:after="100" w:afterAutospacing="1" w:line="240" w:lineRule="auto"/>
      <w:jc w:val="right"/>
      <w:textAlignment w:val="top"/>
    </w:pPr>
    <w:rPr>
      <w:rFonts w:ascii="Times New Roman" w:eastAsia="Times New Roman" w:hAnsi="Times New Roman"/>
      <w:b/>
      <w:bCs/>
      <w:sz w:val="20"/>
      <w:szCs w:val="20"/>
      <w:lang w:eastAsia="es-CO"/>
    </w:rPr>
  </w:style>
  <w:style w:type="paragraph" w:customStyle="1" w:styleId="xl131">
    <w:name w:val="xl131"/>
    <w:basedOn w:val="Normal"/>
    <w:rsid w:val="00F903EC"/>
    <w:pPr>
      <w:pBdr>
        <w:top w:val="single" w:sz="4" w:space="0" w:color="auto"/>
        <w:bottom w:val="single" w:sz="4" w:space="0" w:color="auto"/>
        <w:right w:val="single" w:sz="4" w:space="0" w:color="auto"/>
      </w:pBdr>
      <w:shd w:val="clear" w:color="000000" w:fill="DBDBDB"/>
      <w:spacing w:before="100" w:beforeAutospacing="1" w:after="100" w:afterAutospacing="1" w:line="240" w:lineRule="auto"/>
      <w:jc w:val="right"/>
      <w:textAlignment w:val="top"/>
    </w:pPr>
    <w:rPr>
      <w:rFonts w:ascii="Times New Roman" w:eastAsia="Times New Roman" w:hAnsi="Times New Roman"/>
      <w:b/>
      <w:bCs/>
      <w:sz w:val="20"/>
      <w:szCs w:val="20"/>
      <w:lang w:eastAsia="es-CO"/>
    </w:rPr>
  </w:style>
  <w:style w:type="paragraph" w:customStyle="1" w:styleId="xl132">
    <w:name w:val="xl132"/>
    <w:basedOn w:val="Normal"/>
    <w:rsid w:val="00F903EC"/>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b/>
      <w:bCs/>
      <w:sz w:val="20"/>
      <w:szCs w:val="20"/>
      <w:lang w:eastAsia="es-CO"/>
    </w:rPr>
  </w:style>
  <w:style w:type="paragraph" w:customStyle="1" w:styleId="xl133">
    <w:name w:val="xl133"/>
    <w:basedOn w:val="Normal"/>
    <w:rsid w:val="00F903EC"/>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b/>
      <w:bCs/>
      <w:sz w:val="20"/>
      <w:szCs w:val="20"/>
      <w:lang w:eastAsia="es-CO"/>
    </w:rPr>
  </w:style>
  <w:style w:type="paragraph" w:customStyle="1" w:styleId="xl134">
    <w:name w:val="xl134"/>
    <w:basedOn w:val="Normal"/>
    <w:rsid w:val="00F903E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20"/>
      <w:szCs w:val="20"/>
      <w:lang w:eastAsia="es-CO"/>
    </w:rPr>
  </w:style>
  <w:style w:type="table" w:styleId="Tablaconcuadrcula4-nfasis1">
    <w:name w:val="Grid Table 4 Accent 1"/>
    <w:basedOn w:val="Tablanormal"/>
    <w:uiPriority w:val="49"/>
    <w:rsid w:val="00F153C0"/>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rtefontsize-2">
    <w:name w:val="ms-rtefontsize-2"/>
    <w:basedOn w:val="Fuentedeprrafopredeter"/>
    <w:rsid w:val="00637C2C"/>
  </w:style>
  <w:style w:type="paragraph" w:customStyle="1" w:styleId="font5">
    <w:name w:val="font5"/>
    <w:basedOn w:val="Normal"/>
    <w:rsid w:val="009C0EDC"/>
    <w:pPr>
      <w:spacing w:before="100" w:beforeAutospacing="1" w:after="100" w:afterAutospacing="1" w:line="240" w:lineRule="auto"/>
    </w:pPr>
    <w:rPr>
      <w:rFonts w:ascii="Arial" w:eastAsia="Times New Roman" w:hAnsi="Arial" w:cs="Arial"/>
      <w:color w:val="3D3D3D"/>
      <w:sz w:val="16"/>
      <w:szCs w:val="16"/>
      <w:lang w:eastAsia="es-CO"/>
    </w:rPr>
  </w:style>
  <w:style w:type="character" w:customStyle="1" w:styleId="PrrafodelistaCar">
    <w:name w:val="Párrafo de lista Car"/>
    <w:aliases w:val="VIÑETAS Car1,titulo 3 Car,Bullets Car,HOJA Car1,Bolita Car1,List Paragraph Car1,Párrafo de lista4 Car1,BOLADEF Car1,Párrafo de lista3 Car1,Párrafo de lista21 Car1,BOLA Car1,Nivel 1 OS Car1,Colorful List Accent 1 Car1,Bullet List Car"/>
    <w:link w:val="Prrafodelista"/>
    <w:uiPriority w:val="34"/>
    <w:qFormat/>
    <w:rsid w:val="00B07CA9"/>
    <w:rPr>
      <w:rFonts w:ascii="Calibri" w:eastAsia="Calibri" w:hAnsi="Calibri" w:cs="Times New Roman"/>
      <w:sz w:val="22"/>
      <w:szCs w:val="22"/>
    </w:rPr>
  </w:style>
  <w:style w:type="paragraph" w:customStyle="1" w:styleId="Estilo">
    <w:name w:val="Estilo"/>
    <w:rsid w:val="00043664"/>
    <w:pPr>
      <w:widowControl w:val="0"/>
      <w:autoSpaceDE w:val="0"/>
      <w:autoSpaceDN w:val="0"/>
      <w:adjustRightInd w:val="0"/>
    </w:pPr>
    <w:rPr>
      <w:rFonts w:ascii="Arial" w:eastAsia="Times New Roman" w:hAnsi="Arial" w:cs="Arial"/>
      <w:lang w:eastAsia="es-ES"/>
    </w:rPr>
  </w:style>
  <w:style w:type="character" w:customStyle="1" w:styleId="apple-converted-space">
    <w:name w:val="apple-converted-space"/>
    <w:rsid w:val="00043664"/>
  </w:style>
  <w:style w:type="table" w:customStyle="1" w:styleId="Tablaconcuadrcula1">
    <w:name w:val="Tabla con cuadrícula1"/>
    <w:basedOn w:val="Tablanormal"/>
    <w:next w:val="Tablaconcuadrcula"/>
    <w:rsid w:val="006F3C2B"/>
    <w:pPr>
      <w:spacing w:after="160"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2CA3"/>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Revisin">
    <w:name w:val="Revision"/>
    <w:hidden/>
    <w:uiPriority w:val="99"/>
    <w:semiHidden/>
    <w:rsid w:val="000E5914"/>
    <w:rPr>
      <w:rFonts w:ascii="Calibri" w:eastAsia="Calibri" w:hAnsi="Calibri" w:cs="Times New Roman"/>
      <w:sz w:val="22"/>
      <w:szCs w:val="22"/>
    </w:rPr>
  </w:style>
  <w:style w:type="character" w:styleId="nfasis">
    <w:name w:val="Emphasis"/>
    <w:basedOn w:val="Fuentedeprrafopredeter"/>
    <w:uiPriority w:val="20"/>
    <w:qFormat/>
    <w:rsid w:val="005D51D2"/>
    <w:rPr>
      <w:i/>
      <w:iCs/>
    </w:rPr>
  </w:style>
  <w:style w:type="character" w:customStyle="1" w:styleId="hgkelc">
    <w:name w:val="hgkelc"/>
    <w:basedOn w:val="Fuentedeprrafopredeter"/>
    <w:rsid w:val="005D51D2"/>
  </w:style>
  <w:style w:type="character" w:customStyle="1" w:styleId="kx21rb">
    <w:name w:val="kx21rb"/>
    <w:basedOn w:val="Fuentedeprrafopredeter"/>
    <w:rsid w:val="005D51D2"/>
  </w:style>
  <w:style w:type="table" w:styleId="Tablaconcuadrcula4-nfasis2">
    <w:name w:val="Grid Table 4 Accent 2"/>
    <w:basedOn w:val="Tablanormal"/>
    <w:uiPriority w:val="49"/>
    <w:rsid w:val="00F037A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TtuloTDC">
    <w:name w:val="TOC Heading"/>
    <w:basedOn w:val="Ttulo1"/>
    <w:next w:val="Normal"/>
    <w:uiPriority w:val="39"/>
    <w:unhideWhenUsed/>
    <w:qFormat/>
    <w:rsid w:val="000A4E41"/>
    <w:pPr>
      <w:keepNext/>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lang w:eastAsia="es-CO"/>
    </w:rPr>
  </w:style>
  <w:style w:type="paragraph" w:styleId="Textonotaalfinal">
    <w:name w:val="endnote text"/>
    <w:basedOn w:val="Normal"/>
    <w:link w:val="TextonotaalfinalCar"/>
    <w:uiPriority w:val="99"/>
    <w:semiHidden/>
    <w:unhideWhenUsed/>
    <w:rsid w:val="000F7BF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0F7BF0"/>
    <w:rPr>
      <w:rFonts w:ascii="Calibri" w:eastAsia="Calibri" w:hAnsi="Calibri" w:cs="Times New Roman"/>
      <w:sz w:val="20"/>
      <w:szCs w:val="20"/>
    </w:rPr>
  </w:style>
  <w:style w:type="character" w:styleId="Refdenotaalfinal">
    <w:name w:val="endnote reference"/>
    <w:basedOn w:val="Fuentedeprrafopredeter"/>
    <w:uiPriority w:val="99"/>
    <w:semiHidden/>
    <w:unhideWhenUsed/>
    <w:rsid w:val="000F7BF0"/>
    <w:rPr>
      <w:vertAlign w:val="superscript"/>
    </w:rPr>
  </w:style>
  <w:style w:type="table" w:customStyle="1" w:styleId="Tablaconcuadrcula11">
    <w:name w:val="Tabla con cuadrícula11"/>
    <w:basedOn w:val="Tablanormal"/>
    <w:next w:val="Tablaconcuadrcula"/>
    <w:rsid w:val="00E96D6D"/>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887">
      <w:marLeft w:val="0"/>
      <w:marRight w:val="0"/>
      <w:marTop w:val="0"/>
      <w:marBottom w:val="0"/>
      <w:divBdr>
        <w:top w:val="none" w:sz="0" w:space="0" w:color="auto"/>
        <w:left w:val="none" w:sz="0" w:space="0" w:color="auto"/>
        <w:bottom w:val="none" w:sz="0" w:space="0" w:color="auto"/>
        <w:right w:val="none" w:sz="0" w:space="0" w:color="auto"/>
      </w:divBdr>
    </w:div>
    <w:div w:id="36703119">
      <w:bodyDiv w:val="1"/>
      <w:marLeft w:val="0"/>
      <w:marRight w:val="0"/>
      <w:marTop w:val="0"/>
      <w:marBottom w:val="0"/>
      <w:divBdr>
        <w:top w:val="none" w:sz="0" w:space="0" w:color="auto"/>
        <w:left w:val="none" w:sz="0" w:space="0" w:color="auto"/>
        <w:bottom w:val="none" w:sz="0" w:space="0" w:color="auto"/>
        <w:right w:val="none" w:sz="0" w:space="0" w:color="auto"/>
      </w:divBdr>
    </w:div>
    <w:div w:id="67582074">
      <w:marLeft w:val="0"/>
      <w:marRight w:val="0"/>
      <w:marTop w:val="0"/>
      <w:marBottom w:val="0"/>
      <w:divBdr>
        <w:top w:val="none" w:sz="0" w:space="0" w:color="auto"/>
        <w:left w:val="none" w:sz="0" w:space="0" w:color="auto"/>
        <w:bottom w:val="none" w:sz="0" w:space="0" w:color="auto"/>
        <w:right w:val="none" w:sz="0" w:space="0" w:color="auto"/>
      </w:divBdr>
    </w:div>
    <w:div w:id="130249316">
      <w:bodyDiv w:val="1"/>
      <w:marLeft w:val="0"/>
      <w:marRight w:val="0"/>
      <w:marTop w:val="0"/>
      <w:marBottom w:val="0"/>
      <w:divBdr>
        <w:top w:val="none" w:sz="0" w:space="0" w:color="auto"/>
        <w:left w:val="none" w:sz="0" w:space="0" w:color="auto"/>
        <w:bottom w:val="none" w:sz="0" w:space="0" w:color="auto"/>
        <w:right w:val="none" w:sz="0" w:space="0" w:color="auto"/>
      </w:divBdr>
    </w:div>
    <w:div w:id="136268294">
      <w:bodyDiv w:val="1"/>
      <w:marLeft w:val="0"/>
      <w:marRight w:val="0"/>
      <w:marTop w:val="0"/>
      <w:marBottom w:val="0"/>
      <w:divBdr>
        <w:top w:val="none" w:sz="0" w:space="0" w:color="auto"/>
        <w:left w:val="none" w:sz="0" w:space="0" w:color="auto"/>
        <w:bottom w:val="none" w:sz="0" w:space="0" w:color="auto"/>
        <w:right w:val="none" w:sz="0" w:space="0" w:color="auto"/>
      </w:divBdr>
      <w:divsChild>
        <w:div w:id="475486578">
          <w:marLeft w:val="0"/>
          <w:marRight w:val="0"/>
          <w:marTop w:val="120"/>
          <w:marBottom w:val="120"/>
          <w:divBdr>
            <w:top w:val="none" w:sz="0" w:space="0" w:color="auto"/>
            <w:left w:val="none" w:sz="0" w:space="0" w:color="auto"/>
            <w:bottom w:val="none" w:sz="0" w:space="0" w:color="auto"/>
            <w:right w:val="none" w:sz="0" w:space="0" w:color="auto"/>
          </w:divBdr>
        </w:div>
      </w:divsChild>
    </w:div>
    <w:div w:id="144667730">
      <w:bodyDiv w:val="1"/>
      <w:marLeft w:val="0"/>
      <w:marRight w:val="0"/>
      <w:marTop w:val="0"/>
      <w:marBottom w:val="0"/>
      <w:divBdr>
        <w:top w:val="none" w:sz="0" w:space="0" w:color="auto"/>
        <w:left w:val="none" w:sz="0" w:space="0" w:color="auto"/>
        <w:bottom w:val="none" w:sz="0" w:space="0" w:color="auto"/>
        <w:right w:val="none" w:sz="0" w:space="0" w:color="auto"/>
      </w:divBdr>
    </w:div>
    <w:div w:id="285548329">
      <w:bodyDiv w:val="1"/>
      <w:marLeft w:val="0"/>
      <w:marRight w:val="0"/>
      <w:marTop w:val="0"/>
      <w:marBottom w:val="0"/>
      <w:divBdr>
        <w:top w:val="none" w:sz="0" w:space="0" w:color="auto"/>
        <w:left w:val="none" w:sz="0" w:space="0" w:color="auto"/>
        <w:bottom w:val="none" w:sz="0" w:space="0" w:color="auto"/>
        <w:right w:val="none" w:sz="0" w:space="0" w:color="auto"/>
      </w:divBdr>
    </w:div>
    <w:div w:id="287321873">
      <w:marLeft w:val="0"/>
      <w:marRight w:val="0"/>
      <w:marTop w:val="0"/>
      <w:marBottom w:val="0"/>
      <w:divBdr>
        <w:top w:val="none" w:sz="0" w:space="0" w:color="auto"/>
        <w:left w:val="none" w:sz="0" w:space="0" w:color="auto"/>
        <w:bottom w:val="none" w:sz="0" w:space="0" w:color="auto"/>
        <w:right w:val="none" w:sz="0" w:space="0" w:color="auto"/>
      </w:divBdr>
    </w:div>
    <w:div w:id="295259705">
      <w:bodyDiv w:val="1"/>
      <w:marLeft w:val="0"/>
      <w:marRight w:val="0"/>
      <w:marTop w:val="0"/>
      <w:marBottom w:val="0"/>
      <w:divBdr>
        <w:top w:val="none" w:sz="0" w:space="0" w:color="auto"/>
        <w:left w:val="none" w:sz="0" w:space="0" w:color="auto"/>
        <w:bottom w:val="none" w:sz="0" w:space="0" w:color="auto"/>
        <w:right w:val="none" w:sz="0" w:space="0" w:color="auto"/>
      </w:divBdr>
    </w:div>
    <w:div w:id="296306309">
      <w:bodyDiv w:val="1"/>
      <w:marLeft w:val="0"/>
      <w:marRight w:val="0"/>
      <w:marTop w:val="0"/>
      <w:marBottom w:val="0"/>
      <w:divBdr>
        <w:top w:val="none" w:sz="0" w:space="0" w:color="auto"/>
        <w:left w:val="none" w:sz="0" w:space="0" w:color="auto"/>
        <w:bottom w:val="none" w:sz="0" w:space="0" w:color="auto"/>
        <w:right w:val="none" w:sz="0" w:space="0" w:color="auto"/>
      </w:divBdr>
    </w:div>
    <w:div w:id="310912026">
      <w:bodyDiv w:val="1"/>
      <w:marLeft w:val="0"/>
      <w:marRight w:val="0"/>
      <w:marTop w:val="0"/>
      <w:marBottom w:val="0"/>
      <w:divBdr>
        <w:top w:val="none" w:sz="0" w:space="0" w:color="auto"/>
        <w:left w:val="none" w:sz="0" w:space="0" w:color="auto"/>
        <w:bottom w:val="none" w:sz="0" w:space="0" w:color="auto"/>
        <w:right w:val="none" w:sz="0" w:space="0" w:color="auto"/>
      </w:divBdr>
    </w:div>
    <w:div w:id="355085944">
      <w:marLeft w:val="0"/>
      <w:marRight w:val="0"/>
      <w:marTop w:val="0"/>
      <w:marBottom w:val="0"/>
      <w:divBdr>
        <w:top w:val="none" w:sz="0" w:space="0" w:color="auto"/>
        <w:left w:val="none" w:sz="0" w:space="0" w:color="auto"/>
        <w:bottom w:val="none" w:sz="0" w:space="0" w:color="auto"/>
        <w:right w:val="none" w:sz="0" w:space="0" w:color="auto"/>
      </w:divBdr>
    </w:div>
    <w:div w:id="384647909">
      <w:bodyDiv w:val="1"/>
      <w:marLeft w:val="0"/>
      <w:marRight w:val="0"/>
      <w:marTop w:val="0"/>
      <w:marBottom w:val="0"/>
      <w:divBdr>
        <w:top w:val="none" w:sz="0" w:space="0" w:color="auto"/>
        <w:left w:val="none" w:sz="0" w:space="0" w:color="auto"/>
        <w:bottom w:val="none" w:sz="0" w:space="0" w:color="auto"/>
        <w:right w:val="none" w:sz="0" w:space="0" w:color="auto"/>
      </w:divBdr>
    </w:div>
    <w:div w:id="412363874">
      <w:bodyDiv w:val="1"/>
      <w:marLeft w:val="0"/>
      <w:marRight w:val="0"/>
      <w:marTop w:val="0"/>
      <w:marBottom w:val="0"/>
      <w:divBdr>
        <w:top w:val="none" w:sz="0" w:space="0" w:color="auto"/>
        <w:left w:val="none" w:sz="0" w:space="0" w:color="auto"/>
        <w:bottom w:val="none" w:sz="0" w:space="0" w:color="auto"/>
        <w:right w:val="none" w:sz="0" w:space="0" w:color="auto"/>
      </w:divBdr>
    </w:div>
    <w:div w:id="444543654">
      <w:bodyDiv w:val="1"/>
      <w:marLeft w:val="0"/>
      <w:marRight w:val="0"/>
      <w:marTop w:val="0"/>
      <w:marBottom w:val="0"/>
      <w:divBdr>
        <w:top w:val="none" w:sz="0" w:space="0" w:color="auto"/>
        <w:left w:val="none" w:sz="0" w:space="0" w:color="auto"/>
        <w:bottom w:val="none" w:sz="0" w:space="0" w:color="auto"/>
        <w:right w:val="none" w:sz="0" w:space="0" w:color="auto"/>
      </w:divBdr>
    </w:div>
    <w:div w:id="494810029">
      <w:bodyDiv w:val="1"/>
      <w:marLeft w:val="0"/>
      <w:marRight w:val="0"/>
      <w:marTop w:val="0"/>
      <w:marBottom w:val="0"/>
      <w:divBdr>
        <w:top w:val="none" w:sz="0" w:space="0" w:color="auto"/>
        <w:left w:val="none" w:sz="0" w:space="0" w:color="auto"/>
        <w:bottom w:val="none" w:sz="0" w:space="0" w:color="auto"/>
        <w:right w:val="none" w:sz="0" w:space="0" w:color="auto"/>
      </w:divBdr>
    </w:div>
    <w:div w:id="519124279">
      <w:bodyDiv w:val="1"/>
      <w:marLeft w:val="0"/>
      <w:marRight w:val="0"/>
      <w:marTop w:val="0"/>
      <w:marBottom w:val="0"/>
      <w:divBdr>
        <w:top w:val="none" w:sz="0" w:space="0" w:color="auto"/>
        <w:left w:val="none" w:sz="0" w:space="0" w:color="auto"/>
        <w:bottom w:val="none" w:sz="0" w:space="0" w:color="auto"/>
        <w:right w:val="none" w:sz="0" w:space="0" w:color="auto"/>
      </w:divBdr>
      <w:divsChild>
        <w:div w:id="540630964">
          <w:marLeft w:val="0"/>
          <w:marRight w:val="0"/>
          <w:marTop w:val="0"/>
          <w:marBottom w:val="0"/>
          <w:divBdr>
            <w:top w:val="none" w:sz="0" w:space="0" w:color="auto"/>
            <w:left w:val="none" w:sz="0" w:space="0" w:color="auto"/>
            <w:bottom w:val="none" w:sz="0" w:space="0" w:color="auto"/>
            <w:right w:val="none" w:sz="0" w:space="0" w:color="auto"/>
          </w:divBdr>
          <w:divsChild>
            <w:div w:id="175193350">
              <w:marLeft w:val="0"/>
              <w:marRight w:val="0"/>
              <w:marTop w:val="0"/>
              <w:marBottom w:val="0"/>
              <w:divBdr>
                <w:top w:val="none" w:sz="0" w:space="0" w:color="auto"/>
                <w:left w:val="none" w:sz="0" w:space="0" w:color="auto"/>
                <w:bottom w:val="none" w:sz="0" w:space="0" w:color="auto"/>
                <w:right w:val="none" w:sz="0" w:space="0" w:color="auto"/>
              </w:divBdr>
              <w:divsChild>
                <w:div w:id="184820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632954">
      <w:bodyDiv w:val="1"/>
      <w:marLeft w:val="0"/>
      <w:marRight w:val="0"/>
      <w:marTop w:val="0"/>
      <w:marBottom w:val="0"/>
      <w:divBdr>
        <w:top w:val="none" w:sz="0" w:space="0" w:color="auto"/>
        <w:left w:val="none" w:sz="0" w:space="0" w:color="auto"/>
        <w:bottom w:val="none" w:sz="0" w:space="0" w:color="auto"/>
        <w:right w:val="none" w:sz="0" w:space="0" w:color="auto"/>
      </w:divBdr>
    </w:div>
    <w:div w:id="569077382">
      <w:bodyDiv w:val="1"/>
      <w:marLeft w:val="0"/>
      <w:marRight w:val="0"/>
      <w:marTop w:val="0"/>
      <w:marBottom w:val="0"/>
      <w:divBdr>
        <w:top w:val="none" w:sz="0" w:space="0" w:color="auto"/>
        <w:left w:val="none" w:sz="0" w:space="0" w:color="auto"/>
        <w:bottom w:val="none" w:sz="0" w:space="0" w:color="auto"/>
        <w:right w:val="none" w:sz="0" w:space="0" w:color="auto"/>
      </w:divBdr>
    </w:div>
    <w:div w:id="590822281">
      <w:bodyDiv w:val="1"/>
      <w:marLeft w:val="0"/>
      <w:marRight w:val="0"/>
      <w:marTop w:val="0"/>
      <w:marBottom w:val="0"/>
      <w:divBdr>
        <w:top w:val="none" w:sz="0" w:space="0" w:color="auto"/>
        <w:left w:val="none" w:sz="0" w:space="0" w:color="auto"/>
        <w:bottom w:val="none" w:sz="0" w:space="0" w:color="auto"/>
        <w:right w:val="none" w:sz="0" w:space="0" w:color="auto"/>
      </w:divBdr>
    </w:div>
    <w:div w:id="604581519">
      <w:marLeft w:val="0"/>
      <w:marRight w:val="0"/>
      <w:marTop w:val="0"/>
      <w:marBottom w:val="0"/>
      <w:divBdr>
        <w:top w:val="none" w:sz="0" w:space="0" w:color="auto"/>
        <w:left w:val="none" w:sz="0" w:space="0" w:color="auto"/>
        <w:bottom w:val="none" w:sz="0" w:space="0" w:color="auto"/>
        <w:right w:val="none" w:sz="0" w:space="0" w:color="auto"/>
      </w:divBdr>
    </w:div>
    <w:div w:id="617182304">
      <w:marLeft w:val="0"/>
      <w:marRight w:val="0"/>
      <w:marTop w:val="0"/>
      <w:marBottom w:val="0"/>
      <w:divBdr>
        <w:top w:val="none" w:sz="0" w:space="0" w:color="auto"/>
        <w:left w:val="none" w:sz="0" w:space="0" w:color="auto"/>
        <w:bottom w:val="none" w:sz="0" w:space="0" w:color="auto"/>
        <w:right w:val="none" w:sz="0" w:space="0" w:color="auto"/>
      </w:divBdr>
    </w:div>
    <w:div w:id="619335247">
      <w:marLeft w:val="0"/>
      <w:marRight w:val="0"/>
      <w:marTop w:val="0"/>
      <w:marBottom w:val="0"/>
      <w:divBdr>
        <w:top w:val="none" w:sz="0" w:space="0" w:color="auto"/>
        <w:left w:val="none" w:sz="0" w:space="0" w:color="auto"/>
        <w:bottom w:val="none" w:sz="0" w:space="0" w:color="auto"/>
        <w:right w:val="none" w:sz="0" w:space="0" w:color="auto"/>
      </w:divBdr>
    </w:div>
    <w:div w:id="621112386">
      <w:bodyDiv w:val="1"/>
      <w:marLeft w:val="0"/>
      <w:marRight w:val="0"/>
      <w:marTop w:val="0"/>
      <w:marBottom w:val="0"/>
      <w:divBdr>
        <w:top w:val="none" w:sz="0" w:space="0" w:color="auto"/>
        <w:left w:val="none" w:sz="0" w:space="0" w:color="auto"/>
        <w:bottom w:val="none" w:sz="0" w:space="0" w:color="auto"/>
        <w:right w:val="none" w:sz="0" w:space="0" w:color="auto"/>
      </w:divBdr>
    </w:div>
    <w:div w:id="627709070">
      <w:bodyDiv w:val="1"/>
      <w:marLeft w:val="0"/>
      <w:marRight w:val="0"/>
      <w:marTop w:val="0"/>
      <w:marBottom w:val="0"/>
      <w:divBdr>
        <w:top w:val="none" w:sz="0" w:space="0" w:color="auto"/>
        <w:left w:val="none" w:sz="0" w:space="0" w:color="auto"/>
        <w:bottom w:val="none" w:sz="0" w:space="0" w:color="auto"/>
        <w:right w:val="none" w:sz="0" w:space="0" w:color="auto"/>
      </w:divBdr>
    </w:div>
    <w:div w:id="649214617">
      <w:bodyDiv w:val="1"/>
      <w:marLeft w:val="0"/>
      <w:marRight w:val="0"/>
      <w:marTop w:val="0"/>
      <w:marBottom w:val="0"/>
      <w:divBdr>
        <w:top w:val="none" w:sz="0" w:space="0" w:color="auto"/>
        <w:left w:val="none" w:sz="0" w:space="0" w:color="auto"/>
        <w:bottom w:val="none" w:sz="0" w:space="0" w:color="auto"/>
        <w:right w:val="none" w:sz="0" w:space="0" w:color="auto"/>
      </w:divBdr>
    </w:div>
    <w:div w:id="703409911">
      <w:bodyDiv w:val="1"/>
      <w:marLeft w:val="0"/>
      <w:marRight w:val="0"/>
      <w:marTop w:val="0"/>
      <w:marBottom w:val="0"/>
      <w:divBdr>
        <w:top w:val="none" w:sz="0" w:space="0" w:color="auto"/>
        <w:left w:val="none" w:sz="0" w:space="0" w:color="auto"/>
        <w:bottom w:val="none" w:sz="0" w:space="0" w:color="auto"/>
        <w:right w:val="none" w:sz="0" w:space="0" w:color="auto"/>
      </w:divBdr>
    </w:div>
    <w:div w:id="763300462">
      <w:bodyDiv w:val="1"/>
      <w:marLeft w:val="0"/>
      <w:marRight w:val="0"/>
      <w:marTop w:val="0"/>
      <w:marBottom w:val="0"/>
      <w:divBdr>
        <w:top w:val="none" w:sz="0" w:space="0" w:color="auto"/>
        <w:left w:val="none" w:sz="0" w:space="0" w:color="auto"/>
        <w:bottom w:val="none" w:sz="0" w:space="0" w:color="auto"/>
        <w:right w:val="none" w:sz="0" w:space="0" w:color="auto"/>
      </w:divBdr>
    </w:div>
    <w:div w:id="912930474">
      <w:bodyDiv w:val="1"/>
      <w:marLeft w:val="0"/>
      <w:marRight w:val="0"/>
      <w:marTop w:val="0"/>
      <w:marBottom w:val="0"/>
      <w:divBdr>
        <w:top w:val="none" w:sz="0" w:space="0" w:color="auto"/>
        <w:left w:val="none" w:sz="0" w:space="0" w:color="auto"/>
        <w:bottom w:val="none" w:sz="0" w:space="0" w:color="auto"/>
        <w:right w:val="none" w:sz="0" w:space="0" w:color="auto"/>
      </w:divBdr>
      <w:divsChild>
        <w:div w:id="555314862">
          <w:marLeft w:val="0"/>
          <w:marRight w:val="0"/>
          <w:marTop w:val="0"/>
          <w:marBottom w:val="0"/>
          <w:divBdr>
            <w:top w:val="none" w:sz="0" w:space="0" w:color="auto"/>
            <w:left w:val="none" w:sz="0" w:space="0" w:color="auto"/>
            <w:bottom w:val="none" w:sz="0" w:space="0" w:color="auto"/>
            <w:right w:val="none" w:sz="0" w:space="0" w:color="auto"/>
          </w:divBdr>
        </w:div>
      </w:divsChild>
    </w:div>
    <w:div w:id="917178659">
      <w:bodyDiv w:val="1"/>
      <w:marLeft w:val="0"/>
      <w:marRight w:val="0"/>
      <w:marTop w:val="0"/>
      <w:marBottom w:val="0"/>
      <w:divBdr>
        <w:top w:val="none" w:sz="0" w:space="0" w:color="auto"/>
        <w:left w:val="none" w:sz="0" w:space="0" w:color="auto"/>
        <w:bottom w:val="none" w:sz="0" w:space="0" w:color="auto"/>
        <w:right w:val="none" w:sz="0" w:space="0" w:color="auto"/>
      </w:divBdr>
    </w:div>
    <w:div w:id="929463058">
      <w:bodyDiv w:val="1"/>
      <w:marLeft w:val="0"/>
      <w:marRight w:val="0"/>
      <w:marTop w:val="0"/>
      <w:marBottom w:val="0"/>
      <w:divBdr>
        <w:top w:val="none" w:sz="0" w:space="0" w:color="auto"/>
        <w:left w:val="none" w:sz="0" w:space="0" w:color="auto"/>
        <w:bottom w:val="none" w:sz="0" w:space="0" w:color="auto"/>
        <w:right w:val="none" w:sz="0" w:space="0" w:color="auto"/>
      </w:divBdr>
    </w:div>
    <w:div w:id="929509095">
      <w:bodyDiv w:val="1"/>
      <w:marLeft w:val="0"/>
      <w:marRight w:val="0"/>
      <w:marTop w:val="0"/>
      <w:marBottom w:val="0"/>
      <w:divBdr>
        <w:top w:val="none" w:sz="0" w:space="0" w:color="auto"/>
        <w:left w:val="none" w:sz="0" w:space="0" w:color="auto"/>
        <w:bottom w:val="none" w:sz="0" w:space="0" w:color="auto"/>
        <w:right w:val="none" w:sz="0" w:space="0" w:color="auto"/>
      </w:divBdr>
    </w:div>
    <w:div w:id="949698969">
      <w:bodyDiv w:val="1"/>
      <w:marLeft w:val="0"/>
      <w:marRight w:val="0"/>
      <w:marTop w:val="0"/>
      <w:marBottom w:val="0"/>
      <w:divBdr>
        <w:top w:val="none" w:sz="0" w:space="0" w:color="auto"/>
        <w:left w:val="none" w:sz="0" w:space="0" w:color="auto"/>
        <w:bottom w:val="none" w:sz="0" w:space="0" w:color="auto"/>
        <w:right w:val="none" w:sz="0" w:space="0" w:color="auto"/>
      </w:divBdr>
      <w:divsChild>
        <w:div w:id="630794454">
          <w:marLeft w:val="0"/>
          <w:marRight w:val="0"/>
          <w:marTop w:val="0"/>
          <w:marBottom w:val="0"/>
          <w:divBdr>
            <w:top w:val="none" w:sz="0" w:space="0" w:color="auto"/>
            <w:left w:val="none" w:sz="0" w:space="0" w:color="auto"/>
            <w:bottom w:val="none" w:sz="0" w:space="0" w:color="auto"/>
            <w:right w:val="none" w:sz="0" w:space="0" w:color="auto"/>
          </w:divBdr>
        </w:div>
      </w:divsChild>
    </w:div>
    <w:div w:id="956453917">
      <w:marLeft w:val="0"/>
      <w:marRight w:val="0"/>
      <w:marTop w:val="0"/>
      <w:marBottom w:val="0"/>
      <w:divBdr>
        <w:top w:val="none" w:sz="0" w:space="0" w:color="auto"/>
        <w:left w:val="none" w:sz="0" w:space="0" w:color="auto"/>
        <w:bottom w:val="none" w:sz="0" w:space="0" w:color="auto"/>
        <w:right w:val="none" w:sz="0" w:space="0" w:color="auto"/>
      </w:divBdr>
    </w:div>
    <w:div w:id="963266279">
      <w:marLeft w:val="0"/>
      <w:marRight w:val="0"/>
      <w:marTop w:val="0"/>
      <w:marBottom w:val="0"/>
      <w:divBdr>
        <w:top w:val="none" w:sz="0" w:space="0" w:color="auto"/>
        <w:left w:val="none" w:sz="0" w:space="0" w:color="auto"/>
        <w:bottom w:val="none" w:sz="0" w:space="0" w:color="auto"/>
        <w:right w:val="none" w:sz="0" w:space="0" w:color="auto"/>
      </w:divBdr>
    </w:div>
    <w:div w:id="981350140">
      <w:marLeft w:val="0"/>
      <w:marRight w:val="0"/>
      <w:marTop w:val="0"/>
      <w:marBottom w:val="0"/>
      <w:divBdr>
        <w:top w:val="none" w:sz="0" w:space="0" w:color="auto"/>
        <w:left w:val="none" w:sz="0" w:space="0" w:color="auto"/>
        <w:bottom w:val="none" w:sz="0" w:space="0" w:color="auto"/>
        <w:right w:val="none" w:sz="0" w:space="0" w:color="auto"/>
      </w:divBdr>
    </w:div>
    <w:div w:id="1012688806">
      <w:marLeft w:val="0"/>
      <w:marRight w:val="0"/>
      <w:marTop w:val="0"/>
      <w:marBottom w:val="0"/>
      <w:divBdr>
        <w:top w:val="none" w:sz="0" w:space="0" w:color="auto"/>
        <w:left w:val="none" w:sz="0" w:space="0" w:color="auto"/>
        <w:bottom w:val="none" w:sz="0" w:space="0" w:color="auto"/>
        <w:right w:val="none" w:sz="0" w:space="0" w:color="auto"/>
      </w:divBdr>
    </w:div>
    <w:div w:id="1027680548">
      <w:marLeft w:val="0"/>
      <w:marRight w:val="0"/>
      <w:marTop w:val="0"/>
      <w:marBottom w:val="0"/>
      <w:divBdr>
        <w:top w:val="none" w:sz="0" w:space="0" w:color="auto"/>
        <w:left w:val="none" w:sz="0" w:space="0" w:color="auto"/>
        <w:bottom w:val="none" w:sz="0" w:space="0" w:color="auto"/>
        <w:right w:val="none" w:sz="0" w:space="0" w:color="auto"/>
      </w:divBdr>
    </w:div>
    <w:div w:id="1133795010">
      <w:bodyDiv w:val="1"/>
      <w:marLeft w:val="0"/>
      <w:marRight w:val="0"/>
      <w:marTop w:val="0"/>
      <w:marBottom w:val="0"/>
      <w:divBdr>
        <w:top w:val="none" w:sz="0" w:space="0" w:color="auto"/>
        <w:left w:val="none" w:sz="0" w:space="0" w:color="auto"/>
        <w:bottom w:val="none" w:sz="0" w:space="0" w:color="auto"/>
        <w:right w:val="none" w:sz="0" w:space="0" w:color="auto"/>
      </w:divBdr>
    </w:div>
    <w:div w:id="1165324141">
      <w:bodyDiv w:val="1"/>
      <w:marLeft w:val="0"/>
      <w:marRight w:val="0"/>
      <w:marTop w:val="0"/>
      <w:marBottom w:val="0"/>
      <w:divBdr>
        <w:top w:val="none" w:sz="0" w:space="0" w:color="auto"/>
        <w:left w:val="none" w:sz="0" w:space="0" w:color="auto"/>
        <w:bottom w:val="none" w:sz="0" w:space="0" w:color="auto"/>
        <w:right w:val="none" w:sz="0" w:space="0" w:color="auto"/>
      </w:divBdr>
    </w:div>
    <w:div w:id="1166704070">
      <w:bodyDiv w:val="1"/>
      <w:marLeft w:val="0"/>
      <w:marRight w:val="0"/>
      <w:marTop w:val="0"/>
      <w:marBottom w:val="0"/>
      <w:divBdr>
        <w:top w:val="none" w:sz="0" w:space="0" w:color="auto"/>
        <w:left w:val="none" w:sz="0" w:space="0" w:color="auto"/>
        <w:bottom w:val="none" w:sz="0" w:space="0" w:color="auto"/>
        <w:right w:val="none" w:sz="0" w:space="0" w:color="auto"/>
      </w:divBdr>
    </w:div>
    <w:div w:id="1180392308">
      <w:marLeft w:val="0"/>
      <w:marRight w:val="0"/>
      <w:marTop w:val="0"/>
      <w:marBottom w:val="0"/>
      <w:divBdr>
        <w:top w:val="none" w:sz="0" w:space="0" w:color="auto"/>
        <w:left w:val="none" w:sz="0" w:space="0" w:color="auto"/>
        <w:bottom w:val="none" w:sz="0" w:space="0" w:color="auto"/>
        <w:right w:val="none" w:sz="0" w:space="0" w:color="auto"/>
      </w:divBdr>
    </w:div>
    <w:div w:id="1189415153">
      <w:bodyDiv w:val="1"/>
      <w:marLeft w:val="0"/>
      <w:marRight w:val="0"/>
      <w:marTop w:val="0"/>
      <w:marBottom w:val="0"/>
      <w:divBdr>
        <w:top w:val="none" w:sz="0" w:space="0" w:color="auto"/>
        <w:left w:val="none" w:sz="0" w:space="0" w:color="auto"/>
        <w:bottom w:val="none" w:sz="0" w:space="0" w:color="auto"/>
        <w:right w:val="none" w:sz="0" w:space="0" w:color="auto"/>
      </w:divBdr>
      <w:divsChild>
        <w:div w:id="1416324055">
          <w:marLeft w:val="0"/>
          <w:marRight w:val="0"/>
          <w:marTop w:val="120"/>
          <w:marBottom w:val="120"/>
          <w:divBdr>
            <w:top w:val="none" w:sz="0" w:space="0" w:color="auto"/>
            <w:left w:val="none" w:sz="0" w:space="0" w:color="auto"/>
            <w:bottom w:val="none" w:sz="0" w:space="0" w:color="auto"/>
            <w:right w:val="none" w:sz="0" w:space="0" w:color="auto"/>
          </w:divBdr>
        </w:div>
      </w:divsChild>
    </w:div>
    <w:div w:id="1197235759">
      <w:marLeft w:val="0"/>
      <w:marRight w:val="0"/>
      <w:marTop w:val="0"/>
      <w:marBottom w:val="0"/>
      <w:divBdr>
        <w:top w:val="none" w:sz="0" w:space="0" w:color="auto"/>
        <w:left w:val="none" w:sz="0" w:space="0" w:color="auto"/>
        <w:bottom w:val="none" w:sz="0" w:space="0" w:color="auto"/>
        <w:right w:val="none" w:sz="0" w:space="0" w:color="auto"/>
      </w:divBdr>
    </w:div>
    <w:div w:id="1224827845">
      <w:bodyDiv w:val="1"/>
      <w:marLeft w:val="0"/>
      <w:marRight w:val="0"/>
      <w:marTop w:val="0"/>
      <w:marBottom w:val="0"/>
      <w:divBdr>
        <w:top w:val="none" w:sz="0" w:space="0" w:color="auto"/>
        <w:left w:val="none" w:sz="0" w:space="0" w:color="auto"/>
        <w:bottom w:val="none" w:sz="0" w:space="0" w:color="auto"/>
        <w:right w:val="none" w:sz="0" w:space="0" w:color="auto"/>
      </w:divBdr>
    </w:div>
    <w:div w:id="1231380051">
      <w:bodyDiv w:val="1"/>
      <w:marLeft w:val="0"/>
      <w:marRight w:val="0"/>
      <w:marTop w:val="0"/>
      <w:marBottom w:val="0"/>
      <w:divBdr>
        <w:top w:val="none" w:sz="0" w:space="0" w:color="auto"/>
        <w:left w:val="none" w:sz="0" w:space="0" w:color="auto"/>
        <w:bottom w:val="none" w:sz="0" w:space="0" w:color="auto"/>
        <w:right w:val="none" w:sz="0" w:space="0" w:color="auto"/>
      </w:divBdr>
    </w:div>
    <w:div w:id="1234118025">
      <w:bodyDiv w:val="1"/>
      <w:marLeft w:val="0"/>
      <w:marRight w:val="0"/>
      <w:marTop w:val="0"/>
      <w:marBottom w:val="0"/>
      <w:divBdr>
        <w:top w:val="none" w:sz="0" w:space="0" w:color="auto"/>
        <w:left w:val="none" w:sz="0" w:space="0" w:color="auto"/>
        <w:bottom w:val="none" w:sz="0" w:space="0" w:color="auto"/>
        <w:right w:val="none" w:sz="0" w:space="0" w:color="auto"/>
      </w:divBdr>
      <w:divsChild>
        <w:div w:id="114836013">
          <w:marLeft w:val="0"/>
          <w:marRight w:val="0"/>
          <w:marTop w:val="0"/>
          <w:marBottom w:val="0"/>
          <w:divBdr>
            <w:top w:val="none" w:sz="0" w:space="0" w:color="auto"/>
            <w:left w:val="none" w:sz="0" w:space="0" w:color="auto"/>
            <w:bottom w:val="none" w:sz="0" w:space="0" w:color="auto"/>
            <w:right w:val="none" w:sz="0" w:space="0" w:color="auto"/>
          </w:divBdr>
          <w:divsChild>
            <w:div w:id="1396320969">
              <w:marLeft w:val="0"/>
              <w:marRight w:val="0"/>
              <w:marTop w:val="0"/>
              <w:marBottom w:val="0"/>
              <w:divBdr>
                <w:top w:val="none" w:sz="0" w:space="0" w:color="auto"/>
                <w:left w:val="none" w:sz="0" w:space="0" w:color="auto"/>
                <w:bottom w:val="none" w:sz="0" w:space="0" w:color="auto"/>
                <w:right w:val="none" w:sz="0" w:space="0" w:color="auto"/>
              </w:divBdr>
              <w:divsChild>
                <w:div w:id="138402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587429">
      <w:bodyDiv w:val="1"/>
      <w:marLeft w:val="0"/>
      <w:marRight w:val="0"/>
      <w:marTop w:val="0"/>
      <w:marBottom w:val="0"/>
      <w:divBdr>
        <w:top w:val="none" w:sz="0" w:space="0" w:color="auto"/>
        <w:left w:val="none" w:sz="0" w:space="0" w:color="auto"/>
        <w:bottom w:val="none" w:sz="0" w:space="0" w:color="auto"/>
        <w:right w:val="none" w:sz="0" w:space="0" w:color="auto"/>
      </w:divBdr>
    </w:div>
    <w:div w:id="1254782400">
      <w:bodyDiv w:val="1"/>
      <w:marLeft w:val="0"/>
      <w:marRight w:val="0"/>
      <w:marTop w:val="0"/>
      <w:marBottom w:val="0"/>
      <w:divBdr>
        <w:top w:val="none" w:sz="0" w:space="0" w:color="auto"/>
        <w:left w:val="none" w:sz="0" w:space="0" w:color="auto"/>
        <w:bottom w:val="none" w:sz="0" w:space="0" w:color="auto"/>
        <w:right w:val="none" w:sz="0" w:space="0" w:color="auto"/>
      </w:divBdr>
    </w:div>
    <w:div w:id="1281448833">
      <w:bodyDiv w:val="1"/>
      <w:marLeft w:val="0"/>
      <w:marRight w:val="0"/>
      <w:marTop w:val="0"/>
      <w:marBottom w:val="0"/>
      <w:divBdr>
        <w:top w:val="none" w:sz="0" w:space="0" w:color="auto"/>
        <w:left w:val="none" w:sz="0" w:space="0" w:color="auto"/>
        <w:bottom w:val="none" w:sz="0" w:space="0" w:color="auto"/>
        <w:right w:val="none" w:sz="0" w:space="0" w:color="auto"/>
      </w:divBdr>
      <w:divsChild>
        <w:div w:id="1022128518">
          <w:marLeft w:val="0"/>
          <w:marRight w:val="0"/>
          <w:marTop w:val="0"/>
          <w:marBottom w:val="0"/>
          <w:divBdr>
            <w:top w:val="none" w:sz="0" w:space="0" w:color="auto"/>
            <w:left w:val="none" w:sz="0" w:space="0" w:color="auto"/>
            <w:bottom w:val="none" w:sz="0" w:space="0" w:color="auto"/>
            <w:right w:val="none" w:sz="0" w:space="0" w:color="auto"/>
          </w:divBdr>
          <w:divsChild>
            <w:div w:id="1476264968">
              <w:marLeft w:val="0"/>
              <w:marRight w:val="0"/>
              <w:marTop w:val="0"/>
              <w:marBottom w:val="0"/>
              <w:divBdr>
                <w:top w:val="none" w:sz="0" w:space="0" w:color="auto"/>
                <w:left w:val="none" w:sz="0" w:space="0" w:color="auto"/>
                <w:bottom w:val="none" w:sz="0" w:space="0" w:color="auto"/>
                <w:right w:val="none" w:sz="0" w:space="0" w:color="auto"/>
              </w:divBdr>
              <w:divsChild>
                <w:div w:id="189110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91499">
      <w:bodyDiv w:val="1"/>
      <w:marLeft w:val="0"/>
      <w:marRight w:val="0"/>
      <w:marTop w:val="0"/>
      <w:marBottom w:val="0"/>
      <w:divBdr>
        <w:top w:val="none" w:sz="0" w:space="0" w:color="auto"/>
        <w:left w:val="none" w:sz="0" w:space="0" w:color="auto"/>
        <w:bottom w:val="none" w:sz="0" w:space="0" w:color="auto"/>
        <w:right w:val="none" w:sz="0" w:space="0" w:color="auto"/>
      </w:divBdr>
    </w:div>
    <w:div w:id="1337148592">
      <w:marLeft w:val="0"/>
      <w:marRight w:val="0"/>
      <w:marTop w:val="0"/>
      <w:marBottom w:val="0"/>
      <w:divBdr>
        <w:top w:val="none" w:sz="0" w:space="0" w:color="auto"/>
        <w:left w:val="none" w:sz="0" w:space="0" w:color="auto"/>
        <w:bottom w:val="none" w:sz="0" w:space="0" w:color="auto"/>
        <w:right w:val="none" w:sz="0" w:space="0" w:color="auto"/>
      </w:divBdr>
    </w:div>
    <w:div w:id="1365790935">
      <w:bodyDiv w:val="1"/>
      <w:marLeft w:val="0"/>
      <w:marRight w:val="0"/>
      <w:marTop w:val="0"/>
      <w:marBottom w:val="0"/>
      <w:divBdr>
        <w:top w:val="none" w:sz="0" w:space="0" w:color="auto"/>
        <w:left w:val="none" w:sz="0" w:space="0" w:color="auto"/>
        <w:bottom w:val="none" w:sz="0" w:space="0" w:color="auto"/>
        <w:right w:val="none" w:sz="0" w:space="0" w:color="auto"/>
      </w:divBdr>
    </w:div>
    <w:div w:id="1382171590">
      <w:bodyDiv w:val="1"/>
      <w:marLeft w:val="0"/>
      <w:marRight w:val="0"/>
      <w:marTop w:val="0"/>
      <w:marBottom w:val="0"/>
      <w:divBdr>
        <w:top w:val="none" w:sz="0" w:space="0" w:color="auto"/>
        <w:left w:val="none" w:sz="0" w:space="0" w:color="auto"/>
        <w:bottom w:val="none" w:sz="0" w:space="0" w:color="auto"/>
        <w:right w:val="none" w:sz="0" w:space="0" w:color="auto"/>
      </w:divBdr>
    </w:div>
    <w:div w:id="1440174033">
      <w:marLeft w:val="0"/>
      <w:marRight w:val="0"/>
      <w:marTop w:val="0"/>
      <w:marBottom w:val="0"/>
      <w:divBdr>
        <w:top w:val="none" w:sz="0" w:space="0" w:color="auto"/>
        <w:left w:val="none" w:sz="0" w:space="0" w:color="auto"/>
        <w:bottom w:val="none" w:sz="0" w:space="0" w:color="auto"/>
        <w:right w:val="none" w:sz="0" w:space="0" w:color="auto"/>
      </w:divBdr>
    </w:div>
    <w:div w:id="1637686985">
      <w:bodyDiv w:val="1"/>
      <w:marLeft w:val="0"/>
      <w:marRight w:val="0"/>
      <w:marTop w:val="0"/>
      <w:marBottom w:val="0"/>
      <w:divBdr>
        <w:top w:val="none" w:sz="0" w:space="0" w:color="auto"/>
        <w:left w:val="none" w:sz="0" w:space="0" w:color="auto"/>
        <w:bottom w:val="none" w:sz="0" w:space="0" w:color="auto"/>
        <w:right w:val="none" w:sz="0" w:space="0" w:color="auto"/>
      </w:divBdr>
    </w:div>
    <w:div w:id="1648625200">
      <w:bodyDiv w:val="1"/>
      <w:marLeft w:val="0"/>
      <w:marRight w:val="0"/>
      <w:marTop w:val="0"/>
      <w:marBottom w:val="0"/>
      <w:divBdr>
        <w:top w:val="none" w:sz="0" w:space="0" w:color="auto"/>
        <w:left w:val="none" w:sz="0" w:space="0" w:color="auto"/>
        <w:bottom w:val="none" w:sz="0" w:space="0" w:color="auto"/>
        <w:right w:val="none" w:sz="0" w:space="0" w:color="auto"/>
      </w:divBdr>
    </w:div>
    <w:div w:id="1737243762">
      <w:marLeft w:val="0"/>
      <w:marRight w:val="0"/>
      <w:marTop w:val="0"/>
      <w:marBottom w:val="0"/>
      <w:divBdr>
        <w:top w:val="none" w:sz="0" w:space="0" w:color="auto"/>
        <w:left w:val="none" w:sz="0" w:space="0" w:color="auto"/>
        <w:bottom w:val="none" w:sz="0" w:space="0" w:color="auto"/>
        <w:right w:val="none" w:sz="0" w:space="0" w:color="auto"/>
      </w:divBdr>
    </w:div>
    <w:div w:id="1743332295">
      <w:marLeft w:val="0"/>
      <w:marRight w:val="0"/>
      <w:marTop w:val="0"/>
      <w:marBottom w:val="0"/>
      <w:divBdr>
        <w:top w:val="none" w:sz="0" w:space="0" w:color="auto"/>
        <w:left w:val="none" w:sz="0" w:space="0" w:color="auto"/>
        <w:bottom w:val="none" w:sz="0" w:space="0" w:color="auto"/>
        <w:right w:val="none" w:sz="0" w:space="0" w:color="auto"/>
      </w:divBdr>
    </w:div>
    <w:div w:id="1752047483">
      <w:marLeft w:val="0"/>
      <w:marRight w:val="0"/>
      <w:marTop w:val="0"/>
      <w:marBottom w:val="0"/>
      <w:divBdr>
        <w:top w:val="none" w:sz="0" w:space="0" w:color="auto"/>
        <w:left w:val="none" w:sz="0" w:space="0" w:color="auto"/>
        <w:bottom w:val="none" w:sz="0" w:space="0" w:color="auto"/>
        <w:right w:val="none" w:sz="0" w:space="0" w:color="auto"/>
      </w:divBdr>
    </w:div>
    <w:div w:id="1898004093">
      <w:bodyDiv w:val="1"/>
      <w:marLeft w:val="0"/>
      <w:marRight w:val="0"/>
      <w:marTop w:val="0"/>
      <w:marBottom w:val="0"/>
      <w:divBdr>
        <w:top w:val="none" w:sz="0" w:space="0" w:color="auto"/>
        <w:left w:val="none" w:sz="0" w:space="0" w:color="auto"/>
        <w:bottom w:val="none" w:sz="0" w:space="0" w:color="auto"/>
        <w:right w:val="none" w:sz="0" w:space="0" w:color="auto"/>
      </w:divBdr>
    </w:div>
    <w:div w:id="1918976241">
      <w:bodyDiv w:val="1"/>
      <w:marLeft w:val="0"/>
      <w:marRight w:val="0"/>
      <w:marTop w:val="0"/>
      <w:marBottom w:val="0"/>
      <w:divBdr>
        <w:top w:val="none" w:sz="0" w:space="0" w:color="auto"/>
        <w:left w:val="none" w:sz="0" w:space="0" w:color="auto"/>
        <w:bottom w:val="none" w:sz="0" w:space="0" w:color="auto"/>
        <w:right w:val="none" w:sz="0" w:space="0" w:color="auto"/>
      </w:divBdr>
    </w:div>
    <w:div w:id="1922520586">
      <w:marLeft w:val="0"/>
      <w:marRight w:val="0"/>
      <w:marTop w:val="0"/>
      <w:marBottom w:val="0"/>
      <w:divBdr>
        <w:top w:val="none" w:sz="0" w:space="0" w:color="auto"/>
        <w:left w:val="none" w:sz="0" w:space="0" w:color="auto"/>
        <w:bottom w:val="none" w:sz="0" w:space="0" w:color="auto"/>
        <w:right w:val="none" w:sz="0" w:space="0" w:color="auto"/>
      </w:divBdr>
    </w:div>
    <w:div w:id="1937325982">
      <w:bodyDiv w:val="1"/>
      <w:marLeft w:val="0"/>
      <w:marRight w:val="0"/>
      <w:marTop w:val="0"/>
      <w:marBottom w:val="0"/>
      <w:divBdr>
        <w:top w:val="none" w:sz="0" w:space="0" w:color="auto"/>
        <w:left w:val="none" w:sz="0" w:space="0" w:color="auto"/>
        <w:bottom w:val="none" w:sz="0" w:space="0" w:color="auto"/>
        <w:right w:val="none" w:sz="0" w:space="0" w:color="auto"/>
      </w:divBdr>
    </w:div>
    <w:div w:id="1957634749">
      <w:bodyDiv w:val="1"/>
      <w:marLeft w:val="0"/>
      <w:marRight w:val="0"/>
      <w:marTop w:val="0"/>
      <w:marBottom w:val="0"/>
      <w:divBdr>
        <w:top w:val="none" w:sz="0" w:space="0" w:color="auto"/>
        <w:left w:val="none" w:sz="0" w:space="0" w:color="auto"/>
        <w:bottom w:val="none" w:sz="0" w:space="0" w:color="auto"/>
        <w:right w:val="none" w:sz="0" w:space="0" w:color="auto"/>
      </w:divBdr>
    </w:div>
    <w:div w:id="1981494392">
      <w:bodyDiv w:val="1"/>
      <w:marLeft w:val="0"/>
      <w:marRight w:val="0"/>
      <w:marTop w:val="0"/>
      <w:marBottom w:val="0"/>
      <w:divBdr>
        <w:top w:val="none" w:sz="0" w:space="0" w:color="auto"/>
        <w:left w:val="none" w:sz="0" w:space="0" w:color="auto"/>
        <w:bottom w:val="none" w:sz="0" w:space="0" w:color="auto"/>
        <w:right w:val="none" w:sz="0" w:space="0" w:color="auto"/>
      </w:divBdr>
    </w:div>
    <w:div w:id="2003004556">
      <w:bodyDiv w:val="1"/>
      <w:marLeft w:val="0"/>
      <w:marRight w:val="0"/>
      <w:marTop w:val="0"/>
      <w:marBottom w:val="0"/>
      <w:divBdr>
        <w:top w:val="none" w:sz="0" w:space="0" w:color="auto"/>
        <w:left w:val="none" w:sz="0" w:space="0" w:color="auto"/>
        <w:bottom w:val="none" w:sz="0" w:space="0" w:color="auto"/>
        <w:right w:val="none" w:sz="0" w:space="0" w:color="auto"/>
      </w:divBdr>
    </w:div>
    <w:div w:id="2028092290">
      <w:bodyDiv w:val="1"/>
      <w:marLeft w:val="0"/>
      <w:marRight w:val="0"/>
      <w:marTop w:val="0"/>
      <w:marBottom w:val="0"/>
      <w:divBdr>
        <w:top w:val="none" w:sz="0" w:space="0" w:color="auto"/>
        <w:left w:val="none" w:sz="0" w:space="0" w:color="auto"/>
        <w:bottom w:val="none" w:sz="0" w:space="0" w:color="auto"/>
        <w:right w:val="none" w:sz="0" w:space="0" w:color="auto"/>
      </w:divBdr>
      <w:divsChild>
        <w:div w:id="1921593324">
          <w:marLeft w:val="0"/>
          <w:marRight w:val="0"/>
          <w:marTop w:val="0"/>
          <w:marBottom w:val="240"/>
          <w:divBdr>
            <w:top w:val="none" w:sz="0" w:space="0" w:color="auto"/>
            <w:left w:val="none" w:sz="0" w:space="0" w:color="auto"/>
            <w:bottom w:val="none" w:sz="0" w:space="0" w:color="auto"/>
            <w:right w:val="none" w:sz="0" w:space="0" w:color="auto"/>
          </w:divBdr>
        </w:div>
        <w:div w:id="2077239043">
          <w:marLeft w:val="0"/>
          <w:marRight w:val="0"/>
          <w:marTop w:val="0"/>
          <w:marBottom w:val="240"/>
          <w:divBdr>
            <w:top w:val="none" w:sz="0" w:space="0" w:color="auto"/>
            <w:left w:val="none" w:sz="0" w:space="0" w:color="auto"/>
            <w:bottom w:val="none" w:sz="0" w:space="0" w:color="auto"/>
            <w:right w:val="none" w:sz="0" w:space="0" w:color="auto"/>
          </w:divBdr>
        </w:div>
        <w:div w:id="1110009312">
          <w:marLeft w:val="0"/>
          <w:marRight w:val="0"/>
          <w:marTop w:val="0"/>
          <w:marBottom w:val="240"/>
          <w:divBdr>
            <w:top w:val="none" w:sz="0" w:space="0" w:color="auto"/>
            <w:left w:val="none" w:sz="0" w:space="0" w:color="auto"/>
            <w:bottom w:val="none" w:sz="0" w:space="0" w:color="auto"/>
            <w:right w:val="none" w:sz="0" w:space="0" w:color="auto"/>
          </w:divBdr>
        </w:div>
        <w:div w:id="1768961282">
          <w:marLeft w:val="0"/>
          <w:marRight w:val="0"/>
          <w:marTop w:val="0"/>
          <w:marBottom w:val="240"/>
          <w:divBdr>
            <w:top w:val="none" w:sz="0" w:space="0" w:color="auto"/>
            <w:left w:val="none" w:sz="0" w:space="0" w:color="auto"/>
            <w:bottom w:val="none" w:sz="0" w:space="0" w:color="auto"/>
            <w:right w:val="none" w:sz="0" w:space="0" w:color="auto"/>
          </w:divBdr>
        </w:div>
        <w:div w:id="642656386">
          <w:marLeft w:val="0"/>
          <w:marRight w:val="0"/>
          <w:marTop w:val="0"/>
          <w:marBottom w:val="240"/>
          <w:divBdr>
            <w:top w:val="none" w:sz="0" w:space="0" w:color="auto"/>
            <w:left w:val="none" w:sz="0" w:space="0" w:color="auto"/>
            <w:bottom w:val="none" w:sz="0" w:space="0" w:color="auto"/>
            <w:right w:val="none" w:sz="0" w:space="0" w:color="auto"/>
          </w:divBdr>
        </w:div>
        <w:div w:id="500002066">
          <w:marLeft w:val="0"/>
          <w:marRight w:val="0"/>
          <w:marTop w:val="0"/>
          <w:marBottom w:val="240"/>
          <w:divBdr>
            <w:top w:val="none" w:sz="0" w:space="0" w:color="auto"/>
            <w:left w:val="none" w:sz="0" w:space="0" w:color="auto"/>
            <w:bottom w:val="none" w:sz="0" w:space="0" w:color="auto"/>
            <w:right w:val="none" w:sz="0" w:space="0" w:color="auto"/>
          </w:divBdr>
        </w:div>
        <w:div w:id="17590797">
          <w:marLeft w:val="0"/>
          <w:marRight w:val="0"/>
          <w:marTop w:val="0"/>
          <w:marBottom w:val="240"/>
          <w:divBdr>
            <w:top w:val="none" w:sz="0" w:space="0" w:color="auto"/>
            <w:left w:val="none" w:sz="0" w:space="0" w:color="auto"/>
            <w:bottom w:val="none" w:sz="0" w:space="0" w:color="auto"/>
            <w:right w:val="none" w:sz="0" w:space="0" w:color="auto"/>
          </w:divBdr>
        </w:div>
        <w:div w:id="749429301">
          <w:marLeft w:val="0"/>
          <w:marRight w:val="0"/>
          <w:marTop w:val="0"/>
          <w:marBottom w:val="240"/>
          <w:divBdr>
            <w:top w:val="none" w:sz="0" w:space="0" w:color="auto"/>
            <w:left w:val="none" w:sz="0" w:space="0" w:color="auto"/>
            <w:bottom w:val="none" w:sz="0" w:space="0" w:color="auto"/>
            <w:right w:val="none" w:sz="0" w:space="0" w:color="auto"/>
          </w:divBdr>
        </w:div>
        <w:div w:id="1066730608">
          <w:marLeft w:val="0"/>
          <w:marRight w:val="0"/>
          <w:marTop w:val="0"/>
          <w:marBottom w:val="240"/>
          <w:divBdr>
            <w:top w:val="none" w:sz="0" w:space="0" w:color="auto"/>
            <w:left w:val="none" w:sz="0" w:space="0" w:color="auto"/>
            <w:bottom w:val="none" w:sz="0" w:space="0" w:color="auto"/>
            <w:right w:val="none" w:sz="0" w:space="0" w:color="auto"/>
          </w:divBdr>
        </w:div>
        <w:div w:id="1269896464">
          <w:marLeft w:val="0"/>
          <w:marRight w:val="0"/>
          <w:marTop w:val="0"/>
          <w:marBottom w:val="240"/>
          <w:divBdr>
            <w:top w:val="none" w:sz="0" w:space="0" w:color="auto"/>
            <w:left w:val="none" w:sz="0" w:space="0" w:color="auto"/>
            <w:bottom w:val="none" w:sz="0" w:space="0" w:color="auto"/>
            <w:right w:val="none" w:sz="0" w:space="0" w:color="auto"/>
          </w:divBdr>
        </w:div>
        <w:div w:id="60301403">
          <w:marLeft w:val="0"/>
          <w:marRight w:val="0"/>
          <w:marTop w:val="0"/>
          <w:marBottom w:val="240"/>
          <w:divBdr>
            <w:top w:val="none" w:sz="0" w:space="0" w:color="auto"/>
            <w:left w:val="none" w:sz="0" w:space="0" w:color="auto"/>
            <w:bottom w:val="none" w:sz="0" w:space="0" w:color="auto"/>
            <w:right w:val="none" w:sz="0" w:space="0" w:color="auto"/>
          </w:divBdr>
        </w:div>
        <w:div w:id="1155488075">
          <w:marLeft w:val="0"/>
          <w:marRight w:val="0"/>
          <w:marTop w:val="0"/>
          <w:marBottom w:val="240"/>
          <w:divBdr>
            <w:top w:val="none" w:sz="0" w:space="0" w:color="auto"/>
            <w:left w:val="none" w:sz="0" w:space="0" w:color="auto"/>
            <w:bottom w:val="none" w:sz="0" w:space="0" w:color="auto"/>
            <w:right w:val="none" w:sz="0" w:space="0" w:color="auto"/>
          </w:divBdr>
        </w:div>
        <w:div w:id="993872910">
          <w:marLeft w:val="0"/>
          <w:marRight w:val="0"/>
          <w:marTop w:val="0"/>
          <w:marBottom w:val="240"/>
          <w:divBdr>
            <w:top w:val="none" w:sz="0" w:space="0" w:color="auto"/>
            <w:left w:val="none" w:sz="0" w:space="0" w:color="auto"/>
            <w:bottom w:val="none" w:sz="0" w:space="0" w:color="auto"/>
            <w:right w:val="none" w:sz="0" w:space="0" w:color="auto"/>
          </w:divBdr>
        </w:div>
        <w:div w:id="1629431873">
          <w:marLeft w:val="0"/>
          <w:marRight w:val="0"/>
          <w:marTop w:val="0"/>
          <w:marBottom w:val="240"/>
          <w:divBdr>
            <w:top w:val="none" w:sz="0" w:space="0" w:color="auto"/>
            <w:left w:val="none" w:sz="0" w:space="0" w:color="auto"/>
            <w:bottom w:val="none" w:sz="0" w:space="0" w:color="auto"/>
            <w:right w:val="none" w:sz="0" w:space="0" w:color="auto"/>
          </w:divBdr>
        </w:div>
        <w:div w:id="1655988102">
          <w:marLeft w:val="0"/>
          <w:marRight w:val="0"/>
          <w:marTop w:val="0"/>
          <w:marBottom w:val="240"/>
          <w:divBdr>
            <w:top w:val="none" w:sz="0" w:space="0" w:color="auto"/>
            <w:left w:val="none" w:sz="0" w:space="0" w:color="auto"/>
            <w:bottom w:val="none" w:sz="0" w:space="0" w:color="auto"/>
            <w:right w:val="none" w:sz="0" w:space="0" w:color="auto"/>
          </w:divBdr>
        </w:div>
        <w:div w:id="970205614">
          <w:marLeft w:val="0"/>
          <w:marRight w:val="0"/>
          <w:marTop w:val="0"/>
          <w:marBottom w:val="240"/>
          <w:divBdr>
            <w:top w:val="none" w:sz="0" w:space="0" w:color="auto"/>
            <w:left w:val="none" w:sz="0" w:space="0" w:color="auto"/>
            <w:bottom w:val="none" w:sz="0" w:space="0" w:color="auto"/>
            <w:right w:val="none" w:sz="0" w:space="0" w:color="auto"/>
          </w:divBdr>
        </w:div>
        <w:div w:id="356585361">
          <w:marLeft w:val="0"/>
          <w:marRight w:val="0"/>
          <w:marTop w:val="0"/>
          <w:marBottom w:val="240"/>
          <w:divBdr>
            <w:top w:val="none" w:sz="0" w:space="0" w:color="auto"/>
            <w:left w:val="none" w:sz="0" w:space="0" w:color="auto"/>
            <w:bottom w:val="none" w:sz="0" w:space="0" w:color="auto"/>
            <w:right w:val="none" w:sz="0" w:space="0" w:color="auto"/>
          </w:divBdr>
        </w:div>
        <w:div w:id="975522616">
          <w:marLeft w:val="0"/>
          <w:marRight w:val="0"/>
          <w:marTop w:val="0"/>
          <w:marBottom w:val="240"/>
          <w:divBdr>
            <w:top w:val="none" w:sz="0" w:space="0" w:color="auto"/>
            <w:left w:val="none" w:sz="0" w:space="0" w:color="auto"/>
            <w:bottom w:val="none" w:sz="0" w:space="0" w:color="auto"/>
            <w:right w:val="none" w:sz="0" w:space="0" w:color="auto"/>
          </w:divBdr>
        </w:div>
        <w:div w:id="989405882">
          <w:marLeft w:val="0"/>
          <w:marRight w:val="0"/>
          <w:marTop w:val="0"/>
          <w:marBottom w:val="240"/>
          <w:divBdr>
            <w:top w:val="none" w:sz="0" w:space="0" w:color="auto"/>
            <w:left w:val="none" w:sz="0" w:space="0" w:color="auto"/>
            <w:bottom w:val="none" w:sz="0" w:space="0" w:color="auto"/>
            <w:right w:val="none" w:sz="0" w:space="0" w:color="auto"/>
          </w:divBdr>
        </w:div>
        <w:div w:id="1201017360">
          <w:marLeft w:val="0"/>
          <w:marRight w:val="0"/>
          <w:marTop w:val="0"/>
          <w:marBottom w:val="240"/>
          <w:divBdr>
            <w:top w:val="none" w:sz="0" w:space="0" w:color="auto"/>
            <w:left w:val="none" w:sz="0" w:space="0" w:color="auto"/>
            <w:bottom w:val="none" w:sz="0" w:space="0" w:color="auto"/>
            <w:right w:val="none" w:sz="0" w:space="0" w:color="auto"/>
          </w:divBdr>
        </w:div>
      </w:divsChild>
    </w:div>
    <w:div w:id="2084257662">
      <w:marLeft w:val="0"/>
      <w:marRight w:val="0"/>
      <w:marTop w:val="0"/>
      <w:marBottom w:val="0"/>
      <w:divBdr>
        <w:top w:val="none" w:sz="0" w:space="0" w:color="auto"/>
        <w:left w:val="none" w:sz="0" w:space="0" w:color="auto"/>
        <w:bottom w:val="none" w:sz="0" w:space="0" w:color="auto"/>
        <w:right w:val="none" w:sz="0" w:space="0" w:color="auto"/>
      </w:divBdr>
    </w:div>
    <w:div w:id="2090033621">
      <w:bodyDiv w:val="1"/>
      <w:marLeft w:val="0"/>
      <w:marRight w:val="0"/>
      <w:marTop w:val="0"/>
      <w:marBottom w:val="0"/>
      <w:divBdr>
        <w:top w:val="none" w:sz="0" w:space="0" w:color="auto"/>
        <w:left w:val="none" w:sz="0" w:space="0" w:color="auto"/>
        <w:bottom w:val="none" w:sz="0" w:space="0" w:color="auto"/>
        <w:right w:val="none" w:sz="0" w:space="0" w:color="auto"/>
      </w:divBdr>
    </w:div>
    <w:div w:id="2090228800">
      <w:marLeft w:val="0"/>
      <w:marRight w:val="0"/>
      <w:marTop w:val="0"/>
      <w:marBottom w:val="0"/>
      <w:divBdr>
        <w:top w:val="none" w:sz="0" w:space="0" w:color="auto"/>
        <w:left w:val="none" w:sz="0" w:space="0" w:color="auto"/>
        <w:bottom w:val="none" w:sz="0" w:space="0" w:color="auto"/>
        <w:right w:val="none" w:sz="0" w:space="0" w:color="auto"/>
      </w:divBdr>
    </w:div>
    <w:div w:id="2098624976">
      <w:bodyDiv w:val="1"/>
      <w:marLeft w:val="0"/>
      <w:marRight w:val="0"/>
      <w:marTop w:val="0"/>
      <w:marBottom w:val="0"/>
      <w:divBdr>
        <w:top w:val="none" w:sz="0" w:space="0" w:color="auto"/>
        <w:left w:val="none" w:sz="0" w:space="0" w:color="auto"/>
        <w:bottom w:val="none" w:sz="0" w:space="0" w:color="auto"/>
        <w:right w:val="none" w:sz="0" w:space="0" w:color="auto"/>
      </w:divBdr>
    </w:div>
    <w:div w:id="2102099066">
      <w:bodyDiv w:val="1"/>
      <w:marLeft w:val="0"/>
      <w:marRight w:val="0"/>
      <w:marTop w:val="0"/>
      <w:marBottom w:val="0"/>
      <w:divBdr>
        <w:top w:val="none" w:sz="0" w:space="0" w:color="auto"/>
        <w:left w:val="none" w:sz="0" w:space="0" w:color="auto"/>
        <w:bottom w:val="none" w:sz="0" w:space="0" w:color="auto"/>
        <w:right w:val="none" w:sz="0" w:space="0" w:color="auto"/>
      </w:divBdr>
    </w:div>
    <w:div w:id="2115057242">
      <w:bodyDiv w:val="1"/>
      <w:marLeft w:val="0"/>
      <w:marRight w:val="0"/>
      <w:marTop w:val="0"/>
      <w:marBottom w:val="0"/>
      <w:divBdr>
        <w:top w:val="none" w:sz="0" w:space="0" w:color="auto"/>
        <w:left w:val="none" w:sz="0" w:space="0" w:color="auto"/>
        <w:bottom w:val="none" w:sz="0" w:space="0" w:color="auto"/>
        <w:right w:val="none" w:sz="0" w:space="0" w:color="auto"/>
      </w:divBdr>
    </w:div>
    <w:div w:id="214311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warelatam.com/2026/01/12/omdia-el-mercado-de-pc-crecio-un-9-en-2025-pero-la-falta-de-componentes-empana-el-2026/?utm_source=chatgpt.com" TargetMode="Externa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g"/></Relationships>
</file>

<file path=word/_rels/footer1.xml.rels><?xml version="1.0" encoding="UTF-8" standalone="yes"?>
<Relationships xmlns="http://schemas.openxmlformats.org/package/2006/relationships"><Relationship Id="rId1" Type="http://schemas.openxmlformats.org/officeDocument/2006/relationships/image" Target="media/image8.emf"/></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3313B-C86B-D745-A6DF-3AC5B2D80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TotalTime>
  <Pages>17</Pages>
  <Words>5129</Words>
  <Characters>28214</Characters>
  <Application>Microsoft Office Word</Application>
  <DocSecurity>0</DocSecurity>
  <Lines>235</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MURILLO ABOGADOS</dc:creator>
  <cp:keywords/>
  <dc:description/>
  <cp:lastModifiedBy>Leonardo Bonilla Tello</cp:lastModifiedBy>
  <cp:revision>390</cp:revision>
  <cp:lastPrinted>2023-04-25T16:27:00Z</cp:lastPrinted>
  <dcterms:created xsi:type="dcterms:W3CDTF">2025-07-03T18:14:00Z</dcterms:created>
  <dcterms:modified xsi:type="dcterms:W3CDTF">2026-04-15T23:12:00Z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2024-03-11T15:26:19Z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2132dffc-b851-498d-b4ea-856a4dfd2b9a</vt:lpwstr>
  </property>
  <property fmtid="{D5CDD505-2E9C-101B-9397-08002B2CF9AE}" pid="8" name="MSIP_Label_fc111285-cafa-4fc9-8a9a-bd902089b24f_ContentBits">
    <vt:lpwstr>0</vt:lpwstr>
  </property>
</Properties>
</file>